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F041" w14:textId="77777777" w:rsidR="005F333A" w:rsidRPr="005F333A" w:rsidRDefault="005F333A" w:rsidP="005F333A">
      <w:pPr>
        <w:rPr>
          <w:lang w:val="en-GB"/>
        </w:rPr>
      </w:pPr>
      <w:bookmarkStart w:id="0" w:name="_Hlk134787741"/>
      <w:bookmarkEnd w:id="0"/>
    </w:p>
    <w:p w14:paraId="2821C37C" w14:textId="77777777" w:rsidR="005F333A" w:rsidRPr="005F333A" w:rsidRDefault="005F333A" w:rsidP="005F333A">
      <w:pPr>
        <w:rPr>
          <w:b/>
          <w:bCs/>
          <w:lang w:val="en-GB"/>
        </w:rPr>
      </w:pPr>
    </w:p>
    <w:p w14:paraId="325525AB" w14:textId="77777777" w:rsidR="005F333A" w:rsidRPr="005F333A" w:rsidRDefault="005F333A" w:rsidP="005F333A">
      <w:pPr>
        <w:rPr>
          <w:b/>
          <w:bCs/>
          <w:lang w:val="en-GB"/>
        </w:rPr>
      </w:pPr>
    </w:p>
    <w:p w14:paraId="0792DEC0" w14:textId="77777777" w:rsidR="005F333A" w:rsidRPr="005F333A" w:rsidRDefault="005F333A" w:rsidP="005F333A">
      <w:pPr>
        <w:rPr>
          <w:b/>
          <w:bCs/>
          <w:lang w:val="en-GB"/>
        </w:rPr>
      </w:pPr>
      <w:r w:rsidRPr="005F333A">
        <w:rPr>
          <w:b/>
          <w:bCs/>
          <w:noProof/>
        </w:rPr>
        <w:drawing>
          <wp:anchor distT="0" distB="0" distL="114300" distR="114300" simplePos="0" relativeHeight="251660288" behindDoc="0" locked="0" layoutInCell="1" allowOverlap="1" wp14:anchorId="4DCB663A" wp14:editId="0F1D8C06">
            <wp:simplePos x="0" y="0"/>
            <wp:positionH relativeFrom="margin">
              <wp:posOffset>-635</wp:posOffset>
            </wp:positionH>
            <wp:positionV relativeFrom="page">
              <wp:posOffset>1581150</wp:posOffset>
            </wp:positionV>
            <wp:extent cx="6062980" cy="1943100"/>
            <wp:effectExtent l="0" t="0" r="0" b="0"/>
            <wp:wrapNone/>
            <wp:docPr id="1975138339" name="Imagem 1975138339" descr="Uma imagem com Tipo de letra, texto, Gráficos, logó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386079" name="Imagem 1" descr="Uma imagem com Tipo de letra, texto, Gráficos, logótipo&#10;&#10;Descrição gerada automa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62980" cy="1943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78261F" w14:textId="77777777" w:rsidR="005F333A" w:rsidRPr="005F333A" w:rsidRDefault="005F333A" w:rsidP="005F333A">
      <w:pPr>
        <w:rPr>
          <w:b/>
          <w:bCs/>
          <w:lang w:val="en-GB"/>
        </w:rPr>
      </w:pPr>
    </w:p>
    <w:p w14:paraId="245B39D9" w14:textId="77777777" w:rsidR="005F333A" w:rsidRPr="005F333A" w:rsidRDefault="005F333A" w:rsidP="005F333A">
      <w:pPr>
        <w:rPr>
          <w:b/>
          <w:bCs/>
          <w:lang w:val="en-GB"/>
        </w:rPr>
      </w:pPr>
    </w:p>
    <w:p w14:paraId="5AC6F15A" w14:textId="77777777" w:rsidR="005F333A" w:rsidRPr="005F333A" w:rsidRDefault="005F333A" w:rsidP="005F333A">
      <w:pPr>
        <w:rPr>
          <w:b/>
          <w:bCs/>
          <w:lang w:val="en-GB"/>
        </w:rPr>
      </w:pPr>
    </w:p>
    <w:p w14:paraId="1D25FA64" w14:textId="77777777" w:rsidR="005F333A" w:rsidRPr="005F333A" w:rsidRDefault="005F333A" w:rsidP="005F333A">
      <w:pPr>
        <w:rPr>
          <w:b/>
          <w:bCs/>
          <w:lang w:val="en-GB"/>
        </w:rPr>
      </w:pPr>
    </w:p>
    <w:p w14:paraId="550388FF" w14:textId="77777777" w:rsidR="005F333A" w:rsidRPr="005F333A" w:rsidRDefault="005F333A" w:rsidP="005F333A">
      <w:pPr>
        <w:rPr>
          <w:b/>
          <w:bCs/>
          <w:lang w:val="en-GB"/>
        </w:rPr>
      </w:pPr>
    </w:p>
    <w:p w14:paraId="03AB8119" w14:textId="77777777" w:rsidR="005F333A" w:rsidRPr="005F333A" w:rsidRDefault="005F333A" w:rsidP="005F333A">
      <w:pPr>
        <w:rPr>
          <w:b/>
          <w:bCs/>
          <w:lang w:val="en-GB"/>
        </w:rPr>
      </w:pPr>
    </w:p>
    <w:p w14:paraId="6584431E" w14:textId="77777777" w:rsidR="005F333A" w:rsidRPr="005F333A" w:rsidRDefault="005F333A" w:rsidP="005F333A">
      <w:pPr>
        <w:rPr>
          <w:b/>
          <w:bCs/>
          <w:lang w:val="en-GB"/>
        </w:rPr>
      </w:pPr>
    </w:p>
    <w:p w14:paraId="2B0124DA" w14:textId="77777777" w:rsidR="005F333A" w:rsidRPr="005F333A" w:rsidRDefault="005F333A" w:rsidP="005F333A">
      <w:pPr>
        <w:rPr>
          <w:b/>
          <w:bCs/>
          <w:lang w:val="en-GB"/>
        </w:rPr>
      </w:pPr>
    </w:p>
    <w:p w14:paraId="65EF8F4B" w14:textId="77777777" w:rsidR="005F333A" w:rsidRPr="005F333A" w:rsidRDefault="005F333A" w:rsidP="005F333A">
      <w:pPr>
        <w:rPr>
          <w:b/>
          <w:bCs/>
          <w:lang w:val="en-GB"/>
        </w:rPr>
      </w:pPr>
    </w:p>
    <w:p w14:paraId="325910C1" w14:textId="77777777" w:rsidR="005F333A" w:rsidRPr="005F333A" w:rsidRDefault="005F333A" w:rsidP="005F333A">
      <w:pPr>
        <w:rPr>
          <w:b/>
          <w:bCs/>
          <w:lang w:val="en-GB"/>
        </w:rPr>
      </w:pPr>
    </w:p>
    <w:p w14:paraId="1DE49428" w14:textId="77777777" w:rsidR="005F333A" w:rsidRPr="005F333A" w:rsidRDefault="005F333A" w:rsidP="005F333A">
      <w:pPr>
        <w:rPr>
          <w:b/>
          <w:bCs/>
          <w:lang w:val="en-GB"/>
        </w:rPr>
      </w:pPr>
    </w:p>
    <w:p w14:paraId="6514866A" w14:textId="79495067" w:rsidR="005F333A" w:rsidRPr="005F333A" w:rsidRDefault="005F333A" w:rsidP="005F333A">
      <w:pPr>
        <w:rPr>
          <w:b/>
          <w:bCs/>
        </w:rPr>
      </w:pPr>
      <w:r w:rsidRPr="005F333A">
        <w:rPr>
          <w:b/>
          <w:bCs/>
        </w:rPr>
        <w:t>Orientações para a elaboração do Estudo de Viabilidade Financeira SUSTENTÁVEL 2030</w:t>
      </w:r>
    </w:p>
    <w:p w14:paraId="5F758013" w14:textId="77777777" w:rsidR="005F333A" w:rsidRPr="005F333A" w:rsidRDefault="005F333A" w:rsidP="005F333A">
      <w:r w:rsidRPr="005F333A">
        <w:t>Assegurar o cumprimento das alíneas c) e d), do n.º 2, do artigo 73, do Regulamento (UE) 2021/1060 do Parlamento Europeu e do Conselho de 24 de junho de 2021</w:t>
      </w:r>
    </w:p>
    <w:p w14:paraId="39BF4480" w14:textId="77777777" w:rsidR="005F333A" w:rsidRPr="005F333A" w:rsidRDefault="005F333A" w:rsidP="005F333A"/>
    <w:p w14:paraId="79B3B60B" w14:textId="77777777" w:rsidR="005F333A" w:rsidRPr="005F333A" w:rsidRDefault="005F333A" w:rsidP="005F333A"/>
    <w:p w14:paraId="7E5BB223" w14:textId="1C8ED379" w:rsidR="005F333A" w:rsidRPr="0053228D" w:rsidRDefault="005F333A" w:rsidP="005F333A">
      <w:pPr>
        <w:rPr>
          <w:b/>
          <w:bCs/>
          <w:caps/>
        </w:rPr>
      </w:pPr>
      <w:r w:rsidRPr="0053228D">
        <w:rPr>
          <w:b/>
          <w:bCs/>
          <w:caps/>
        </w:rPr>
        <w:t xml:space="preserve">Requisitos aplicáveis </w:t>
      </w:r>
      <w:r w:rsidR="0053228D" w:rsidRPr="0053228D">
        <w:rPr>
          <w:b/>
          <w:bCs/>
          <w:caps/>
        </w:rPr>
        <w:t>a</w:t>
      </w:r>
      <w:r w:rsidRPr="0053228D">
        <w:rPr>
          <w:b/>
          <w:bCs/>
          <w:caps/>
        </w:rPr>
        <w:t xml:space="preserve"> OPERAÇÕES COM INVESTIMENTO ELEGÍVEL ENTRE 1M€ E 50 M€ </w:t>
      </w:r>
    </w:p>
    <w:p w14:paraId="1ECDE985" w14:textId="77777777" w:rsidR="005F333A" w:rsidRPr="0053228D" w:rsidRDefault="005F333A" w:rsidP="005F333A">
      <w:pPr>
        <w:rPr>
          <w:caps/>
        </w:rPr>
      </w:pPr>
    </w:p>
    <w:p w14:paraId="13D2F002" w14:textId="1E680635" w:rsidR="005F333A" w:rsidRDefault="005F333A">
      <w:r>
        <w:br w:type="page"/>
      </w:r>
    </w:p>
    <w:p w14:paraId="5C845015" w14:textId="77777777" w:rsidR="005F333A" w:rsidRPr="005F333A" w:rsidRDefault="005F333A" w:rsidP="005F333A">
      <w:pPr>
        <w:rPr>
          <w:b/>
          <w:bCs/>
        </w:rPr>
        <w:sectPr w:rsidR="005F333A" w:rsidRPr="005F333A" w:rsidSect="00733D40">
          <w:headerReference w:type="first" r:id="rId8"/>
          <w:pgSz w:w="11906" w:h="16838"/>
          <w:pgMar w:top="1417" w:right="926" w:bottom="1417" w:left="1701" w:header="708" w:footer="1538" w:gutter="0"/>
          <w:cols w:space="708"/>
          <w:docGrid w:linePitch="360"/>
        </w:sectPr>
      </w:pPr>
    </w:p>
    <w:p w14:paraId="5B011B61" w14:textId="77777777" w:rsidR="005F333A" w:rsidRPr="005F333A" w:rsidRDefault="005F333A" w:rsidP="005F333A">
      <w:pPr>
        <w:rPr>
          <w:b/>
        </w:rPr>
      </w:pPr>
    </w:p>
    <w:p w14:paraId="54844BB4" w14:textId="77777777" w:rsidR="005F333A" w:rsidRPr="005F333A" w:rsidRDefault="005F333A" w:rsidP="005F333A">
      <w:pPr>
        <w:rPr>
          <w:b/>
        </w:rPr>
      </w:pPr>
    </w:p>
    <w:p w14:paraId="72590EB5" w14:textId="77777777" w:rsidR="005F333A" w:rsidRPr="005F333A" w:rsidRDefault="005F333A" w:rsidP="005F333A">
      <w:pPr>
        <w:rPr>
          <w:b/>
        </w:rPr>
      </w:pPr>
    </w:p>
    <w:p w14:paraId="5D96192F" w14:textId="77777777" w:rsidR="005F333A" w:rsidRPr="005F333A" w:rsidRDefault="005F333A" w:rsidP="005F333A">
      <w:pPr>
        <w:rPr>
          <w:b/>
        </w:rPr>
      </w:pPr>
      <w:r w:rsidRPr="005F333A">
        <w:rPr>
          <w:b/>
        </w:rPr>
        <w:t>Título</w:t>
      </w:r>
    </w:p>
    <w:p w14:paraId="6250FB69" w14:textId="36558FC3" w:rsidR="005F333A" w:rsidRPr="005F333A" w:rsidRDefault="005F333A" w:rsidP="005F333A">
      <w:pPr>
        <w:rPr>
          <w:b/>
        </w:rPr>
      </w:pPr>
      <w:r w:rsidRPr="005F333A">
        <w:rPr>
          <w:b/>
        </w:rPr>
        <w:t xml:space="preserve">Orientações para a ELABORAÇÃO DO </w:t>
      </w:r>
      <w:r w:rsidR="008060C1">
        <w:rPr>
          <w:b/>
        </w:rPr>
        <w:t>E</w:t>
      </w:r>
      <w:r w:rsidRPr="005F333A">
        <w:rPr>
          <w:b/>
        </w:rPr>
        <w:t xml:space="preserve">STUDO DE </w:t>
      </w:r>
      <w:r w:rsidR="008060C1">
        <w:rPr>
          <w:b/>
        </w:rPr>
        <w:t>V</w:t>
      </w:r>
      <w:r w:rsidRPr="005F333A">
        <w:rPr>
          <w:b/>
        </w:rPr>
        <w:t xml:space="preserve">IABILIDADE </w:t>
      </w:r>
      <w:r w:rsidR="008060C1">
        <w:rPr>
          <w:b/>
        </w:rPr>
        <w:t>FINANCEIRA</w:t>
      </w:r>
      <w:r w:rsidRPr="005F333A">
        <w:rPr>
          <w:b/>
        </w:rPr>
        <w:t xml:space="preserve"> 2030</w:t>
      </w:r>
    </w:p>
    <w:p w14:paraId="57C9D518" w14:textId="77777777" w:rsidR="005F333A" w:rsidRPr="005F333A" w:rsidRDefault="005F333A" w:rsidP="005F333A">
      <w:pPr>
        <w:rPr>
          <w:b/>
        </w:rPr>
      </w:pPr>
      <w:r w:rsidRPr="005F333A">
        <w:rPr>
          <w:b/>
        </w:rPr>
        <w:t>Editor</w:t>
      </w:r>
    </w:p>
    <w:p w14:paraId="7500CD69" w14:textId="6CC60D7B" w:rsidR="005F333A" w:rsidRPr="005F333A" w:rsidRDefault="005F333A" w:rsidP="005F333A">
      <w:pPr>
        <w:rPr>
          <w:b/>
        </w:rPr>
      </w:pPr>
      <w:r w:rsidRPr="005F333A">
        <w:rPr>
          <w:b/>
        </w:rPr>
        <w:t>Autoridade de Gestão do Programa para a Ação Climática e Sustentabilidade</w:t>
      </w:r>
      <w:r w:rsidRPr="005F333A">
        <w:t xml:space="preserve"> </w:t>
      </w:r>
    </w:p>
    <w:p w14:paraId="3AD5313A" w14:textId="77777777" w:rsidR="005F333A" w:rsidRPr="005F333A" w:rsidRDefault="005F333A" w:rsidP="005F333A">
      <w:pPr>
        <w:rPr>
          <w:b/>
        </w:rPr>
      </w:pPr>
      <w:r w:rsidRPr="005F333A">
        <w:rPr>
          <w:b/>
        </w:rPr>
        <w:t>Endereços</w:t>
      </w:r>
    </w:p>
    <w:p w14:paraId="1FCE501E" w14:textId="77777777" w:rsidR="005F333A" w:rsidRPr="005F333A" w:rsidRDefault="005F333A" w:rsidP="005F333A">
      <w:r w:rsidRPr="005F333A">
        <w:t>Rua Rodrigo da Fonseca, 57</w:t>
      </w:r>
    </w:p>
    <w:p w14:paraId="48E464C4" w14:textId="77777777" w:rsidR="005F333A" w:rsidRPr="005F333A" w:rsidRDefault="005F333A" w:rsidP="005F333A">
      <w:r w:rsidRPr="005F333A">
        <w:t>1250-190 Lisboa</w:t>
      </w:r>
    </w:p>
    <w:p w14:paraId="7CFA932F" w14:textId="77777777" w:rsidR="005F333A" w:rsidRPr="005F333A" w:rsidRDefault="005F333A" w:rsidP="005F333A">
      <w:proofErr w:type="spellStart"/>
      <w:r w:rsidRPr="005F333A">
        <w:t>Telf</w:t>
      </w:r>
      <w:proofErr w:type="spellEnd"/>
      <w:r w:rsidRPr="005F333A">
        <w:t>: +351 211 545 000</w:t>
      </w:r>
    </w:p>
    <w:p w14:paraId="33ED6610" w14:textId="17F6B64B" w:rsidR="005F333A" w:rsidRPr="005F333A" w:rsidRDefault="00B863B8" w:rsidP="005F333A">
      <w:pPr>
        <w:rPr>
          <w:i/>
        </w:rPr>
      </w:pPr>
      <w:hyperlink r:id="rId9" w:history="1">
        <w:r w:rsidRPr="00275811">
          <w:rPr>
            <w:rStyle w:val="Hiperligao"/>
          </w:rPr>
          <w:t>sustentavel@sustentavel2030.gov.pt</w:t>
        </w:r>
      </w:hyperlink>
    </w:p>
    <w:p w14:paraId="3571548C" w14:textId="1702CE7F" w:rsidR="005F333A" w:rsidRPr="005F333A" w:rsidRDefault="00B863B8" w:rsidP="005F333A">
      <w:pPr>
        <w:rPr>
          <w:u w:val="single"/>
        </w:rPr>
      </w:pPr>
      <w:hyperlink r:id="rId10" w:history="1">
        <w:r w:rsidRPr="00275811">
          <w:rPr>
            <w:rStyle w:val="Hiperligao"/>
          </w:rPr>
          <w:t>www.sutentavel2030.gov.pt/</w:t>
        </w:r>
      </w:hyperlink>
    </w:p>
    <w:p w14:paraId="57C54571" w14:textId="77777777" w:rsidR="005F333A" w:rsidRPr="005F333A" w:rsidRDefault="005F333A" w:rsidP="005F333A">
      <w:pPr>
        <w:rPr>
          <w:u w:val="single"/>
        </w:rPr>
      </w:pPr>
    </w:p>
    <w:p w14:paraId="4605DDF0" w14:textId="77777777" w:rsidR="005F333A" w:rsidRPr="005F333A" w:rsidRDefault="005F333A" w:rsidP="005F333A">
      <w:pPr>
        <w:rPr>
          <w:b/>
        </w:rPr>
      </w:pPr>
      <w:r w:rsidRPr="005F333A">
        <w:rPr>
          <w:b/>
        </w:rPr>
        <w:t>Conceção técnica</w:t>
      </w:r>
    </w:p>
    <w:p w14:paraId="6A200A84" w14:textId="77777777" w:rsidR="005F333A" w:rsidRPr="005F333A" w:rsidRDefault="005F333A" w:rsidP="005F333A">
      <w:r w:rsidRPr="005F333A">
        <w:t>Grupo de Trabalho em articulação com Unidade de Controlo Interno</w:t>
      </w:r>
    </w:p>
    <w:p w14:paraId="6A404AFC" w14:textId="77777777" w:rsidR="005F333A" w:rsidRPr="005F333A" w:rsidRDefault="005F333A" w:rsidP="005F333A"/>
    <w:p w14:paraId="3F543A08" w14:textId="77777777" w:rsidR="005F333A" w:rsidRPr="005F333A" w:rsidRDefault="005F333A" w:rsidP="005F333A">
      <w:pPr>
        <w:rPr>
          <w:b/>
          <w:bCs/>
        </w:rPr>
      </w:pPr>
    </w:p>
    <w:p w14:paraId="1D4317DB" w14:textId="77777777" w:rsidR="005F333A" w:rsidRPr="005F333A" w:rsidRDefault="005F333A" w:rsidP="005F333A">
      <w:pPr>
        <w:rPr>
          <w:b/>
        </w:rPr>
      </w:pPr>
      <w:r w:rsidRPr="005F333A">
        <w:rPr>
          <w:b/>
        </w:rPr>
        <w:t>Controlo de versões</w:t>
      </w:r>
      <w:r w:rsidRPr="005F333A">
        <w:rPr>
          <w:b/>
        </w:rPr>
        <w:br/>
      </w:r>
    </w:p>
    <w:tbl>
      <w:tblPr>
        <w:tblW w:w="6487" w:type="dxa"/>
        <w:tblInd w:w="392" w:type="dxa"/>
        <w:tblBorders>
          <w:top w:val="single" w:sz="4" w:space="0" w:color="FFFFFF"/>
          <w:insideH w:val="single" w:sz="12" w:space="0" w:color="C8E6EE"/>
          <w:insideV w:val="single" w:sz="4" w:space="0" w:color="59B3CB"/>
        </w:tblBorders>
        <w:tblLook w:val="04A0" w:firstRow="1" w:lastRow="0" w:firstColumn="1" w:lastColumn="0" w:noHBand="0" w:noVBand="1"/>
      </w:tblPr>
      <w:tblGrid>
        <w:gridCol w:w="2161"/>
        <w:gridCol w:w="2161"/>
        <w:gridCol w:w="2165"/>
      </w:tblGrid>
      <w:tr w:rsidR="005F333A" w:rsidRPr="005F333A" w14:paraId="4311DBAF" w14:textId="77777777" w:rsidTr="001D647C">
        <w:trPr>
          <w:trHeight w:val="242"/>
        </w:trPr>
        <w:tc>
          <w:tcPr>
            <w:tcW w:w="2161" w:type="dxa"/>
            <w:shd w:val="clear" w:color="auto" w:fill="auto"/>
            <w:vAlign w:val="center"/>
          </w:tcPr>
          <w:p w14:paraId="31F6E2F5" w14:textId="77777777" w:rsidR="005F333A" w:rsidRPr="005F333A" w:rsidRDefault="005F333A" w:rsidP="005F333A">
            <w:pPr>
              <w:rPr>
                <w:b/>
              </w:rPr>
            </w:pPr>
            <w:r w:rsidRPr="005F333A">
              <w:rPr>
                <w:b/>
              </w:rPr>
              <w:t>N.º Versão</w:t>
            </w:r>
          </w:p>
        </w:tc>
        <w:tc>
          <w:tcPr>
            <w:tcW w:w="2161" w:type="dxa"/>
            <w:shd w:val="clear" w:color="auto" w:fill="auto"/>
            <w:vAlign w:val="center"/>
          </w:tcPr>
          <w:p w14:paraId="676DA5E5" w14:textId="6ED65C90" w:rsidR="005F333A" w:rsidRPr="005F333A" w:rsidRDefault="005F333A" w:rsidP="005F333A">
            <w:pPr>
              <w:rPr>
                <w:b/>
              </w:rPr>
            </w:pPr>
            <w:r w:rsidRPr="005F333A">
              <w:rPr>
                <w:b/>
              </w:rPr>
              <w:t xml:space="preserve">Data </w:t>
            </w:r>
            <w:r w:rsidR="00B863B8">
              <w:rPr>
                <w:b/>
              </w:rPr>
              <w:t>edição</w:t>
            </w:r>
          </w:p>
        </w:tc>
        <w:tc>
          <w:tcPr>
            <w:tcW w:w="2165" w:type="dxa"/>
            <w:shd w:val="clear" w:color="auto" w:fill="auto"/>
            <w:vAlign w:val="center"/>
          </w:tcPr>
          <w:p w14:paraId="74823AAC" w14:textId="77777777" w:rsidR="005F333A" w:rsidRPr="005F333A" w:rsidRDefault="005F333A" w:rsidP="005F333A">
            <w:pPr>
              <w:rPr>
                <w:b/>
              </w:rPr>
            </w:pPr>
            <w:r w:rsidRPr="005F333A">
              <w:rPr>
                <w:b/>
              </w:rPr>
              <w:t>Descrição</w:t>
            </w:r>
          </w:p>
        </w:tc>
      </w:tr>
      <w:tr w:rsidR="005F333A" w:rsidRPr="005F333A" w14:paraId="0A82FD5B" w14:textId="77777777" w:rsidTr="001D647C">
        <w:trPr>
          <w:trHeight w:val="289"/>
        </w:trPr>
        <w:tc>
          <w:tcPr>
            <w:tcW w:w="2161" w:type="dxa"/>
            <w:shd w:val="clear" w:color="auto" w:fill="auto"/>
            <w:vAlign w:val="center"/>
          </w:tcPr>
          <w:p w14:paraId="1F25A483" w14:textId="77777777" w:rsidR="005F333A" w:rsidRPr="005F333A" w:rsidRDefault="005F333A" w:rsidP="005F333A">
            <w:r w:rsidRPr="005F333A">
              <w:t>1.0</w:t>
            </w:r>
          </w:p>
        </w:tc>
        <w:tc>
          <w:tcPr>
            <w:tcW w:w="2161" w:type="dxa"/>
            <w:shd w:val="clear" w:color="auto" w:fill="auto"/>
            <w:vAlign w:val="center"/>
          </w:tcPr>
          <w:p w14:paraId="02250A90" w14:textId="03A0A830" w:rsidR="005F333A" w:rsidRPr="005F333A" w:rsidRDefault="005F333A" w:rsidP="005F333A">
            <w:r w:rsidRPr="005F333A">
              <w:t>Ju</w:t>
            </w:r>
            <w:r w:rsidR="00B863B8">
              <w:t>n</w:t>
            </w:r>
            <w:r w:rsidRPr="005F333A">
              <w:t>ho/2023</w:t>
            </w:r>
          </w:p>
        </w:tc>
        <w:tc>
          <w:tcPr>
            <w:tcW w:w="2165" w:type="dxa"/>
            <w:shd w:val="clear" w:color="auto" w:fill="auto"/>
            <w:vAlign w:val="center"/>
          </w:tcPr>
          <w:p w14:paraId="6212E90A" w14:textId="77777777" w:rsidR="005F333A" w:rsidRPr="005F333A" w:rsidRDefault="005F333A" w:rsidP="005F333A">
            <w:r w:rsidRPr="005F333A">
              <w:t>Versão inicial</w:t>
            </w:r>
          </w:p>
        </w:tc>
      </w:tr>
      <w:tr w:rsidR="005F333A" w:rsidRPr="005F333A" w14:paraId="5E604E32" w14:textId="77777777" w:rsidTr="001D647C">
        <w:trPr>
          <w:trHeight w:val="289"/>
        </w:trPr>
        <w:tc>
          <w:tcPr>
            <w:tcW w:w="2161" w:type="dxa"/>
            <w:shd w:val="clear" w:color="auto" w:fill="auto"/>
            <w:vAlign w:val="center"/>
          </w:tcPr>
          <w:p w14:paraId="5E3E3292" w14:textId="77777777" w:rsidR="005F333A" w:rsidRPr="005F333A" w:rsidRDefault="005F333A" w:rsidP="005F333A"/>
        </w:tc>
        <w:tc>
          <w:tcPr>
            <w:tcW w:w="2161" w:type="dxa"/>
            <w:shd w:val="clear" w:color="auto" w:fill="auto"/>
            <w:vAlign w:val="center"/>
          </w:tcPr>
          <w:p w14:paraId="1326F2D1" w14:textId="77777777" w:rsidR="005F333A" w:rsidRPr="005F333A" w:rsidRDefault="005F333A" w:rsidP="005F333A"/>
        </w:tc>
        <w:tc>
          <w:tcPr>
            <w:tcW w:w="2165" w:type="dxa"/>
            <w:shd w:val="clear" w:color="auto" w:fill="auto"/>
            <w:vAlign w:val="center"/>
          </w:tcPr>
          <w:p w14:paraId="583E055B" w14:textId="77777777" w:rsidR="005F333A" w:rsidRPr="005F333A" w:rsidRDefault="005F333A" w:rsidP="005F333A"/>
        </w:tc>
      </w:tr>
    </w:tbl>
    <w:p w14:paraId="2FA4C1B6" w14:textId="77777777" w:rsidR="005F333A" w:rsidRPr="005F333A" w:rsidRDefault="005F333A" w:rsidP="005F333A">
      <w:r w:rsidRPr="005F333A">
        <w:br w:type="page"/>
      </w:r>
    </w:p>
    <w:sdt>
      <w:sdtPr>
        <w:id w:val="380986199"/>
        <w:docPartObj>
          <w:docPartGallery w:val="Table of Contents"/>
          <w:docPartUnique/>
        </w:docPartObj>
      </w:sdtPr>
      <w:sdtEndPr/>
      <w:sdtContent>
        <w:p w14:paraId="5EA82C05" w14:textId="77777777" w:rsidR="005F333A" w:rsidRPr="005F333A" w:rsidRDefault="005F333A" w:rsidP="005F333A">
          <w:pPr>
            <w:spacing w:line="240" w:lineRule="auto"/>
            <w:rPr>
              <w:b/>
              <w:bCs/>
            </w:rPr>
          </w:pPr>
          <w:r w:rsidRPr="005F333A">
            <w:rPr>
              <w:b/>
              <w:bCs/>
            </w:rPr>
            <w:t>Índice</w:t>
          </w:r>
        </w:p>
        <w:p w14:paraId="74ADB1E7" w14:textId="77777777" w:rsidR="005F333A" w:rsidRPr="005F333A" w:rsidRDefault="005F333A" w:rsidP="005F333A">
          <w:pPr>
            <w:spacing w:line="240" w:lineRule="auto"/>
          </w:pPr>
          <w:r w:rsidRPr="005F333A">
            <w:fldChar w:fldCharType="begin"/>
          </w:r>
          <w:r w:rsidRPr="005F333A">
            <w:instrText xml:space="preserve"> TOC \o "1-3" \h \z \u </w:instrText>
          </w:r>
          <w:r w:rsidRPr="005F333A">
            <w:fldChar w:fldCharType="separate"/>
          </w:r>
          <w:hyperlink w:anchor="_Toc136629394" w:history="1">
            <w:r w:rsidRPr="005F333A">
              <w:rPr>
                <w:rStyle w:val="Hiperligao"/>
                <w:b/>
                <w:bCs/>
              </w:rPr>
              <w:t>1.</w:t>
            </w:r>
            <w:r w:rsidRPr="005F333A">
              <w:rPr>
                <w:rStyle w:val="Hiperligao"/>
              </w:rPr>
              <w:tab/>
            </w:r>
            <w:r w:rsidRPr="005F333A">
              <w:rPr>
                <w:rStyle w:val="Hiperligao"/>
                <w:b/>
                <w:bCs/>
              </w:rPr>
              <w:t>Enquadramento</w:t>
            </w:r>
            <w:r w:rsidRPr="005F333A">
              <w:rPr>
                <w:rStyle w:val="Hiperligao"/>
                <w:webHidden/>
              </w:rPr>
              <w:tab/>
            </w:r>
            <w:r w:rsidRPr="005F333A">
              <w:rPr>
                <w:rStyle w:val="Hiperligao"/>
                <w:webHidden/>
              </w:rPr>
              <w:fldChar w:fldCharType="begin"/>
            </w:r>
            <w:r w:rsidRPr="005F333A">
              <w:rPr>
                <w:rStyle w:val="Hiperligao"/>
                <w:webHidden/>
              </w:rPr>
              <w:instrText xml:space="preserve"> PAGEREF _Toc136629394 \h </w:instrText>
            </w:r>
            <w:r w:rsidRPr="005F333A">
              <w:rPr>
                <w:rStyle w:val="Hiperligao"/>
                <w:webHidden/>
              </w:rPr>
            </w:r>
            <w:r w:rsidRPr="005F333A">
              <w:rPr>
                <w:rStyle w:val="Hiperligao"/>
                <w:webHidden/>
              </w:rPr>
              <w:fldChar w:fldCharType="separate"/>
            </w:r>
            <w:r w:rsidRPr="005F333A">
              <w:rPr>
                <w:rStyle w:val="Hiperligao"/>
                <w:webHidden/>
              </w:rPr>
              <w:t>5</w:t>
            </w:r>
            <w:r w:rsidRPr="005F333A">
              <w:rPr>
                <w:rStyle w:val="Hiperligao"/>
                <w:webHidden/>
              </w:rPr>
              <w:fldChar w:fldCharType="end"/>
            </w:r>
          </w:hyperlink>
        </w:p>
        <w:p w14:paraId="468ECEF2" w14:textId="77777777" w:rsidR="005F333A" w:rsidRPr="005F333A" w:rsidRDefault="00B863B8" w:rsidP="005F333A">
          <w:pPr>
            <w:spacing w:line="240" w:lineRule="auto"/>
          </w:pPr>
          <w:hyperlink w:anchor="_Toc136629395" w:history="1">
            <w:r w:rsidR="005F333A" w:rsidRPr="005F333A">
              <w:rPr>
                <w:rStyle w:val="Hiperligao"/>
                <w:b/>
                <w:bCs/>
              </w:rPr>
              <w:t>2.</w:t>
            </w:r>
            <w:r w:rsidR="005F333A" w:rsidRPr="005F333A">
              <w:rPr>
                <w:rStyle w:val="Hiperligao"/>
              </w:rPr>
              <w:tab/>
            </w:r>
            <w:r w:rsidR="005F333A" w:rsidRPr="005F333A">
              <w:rPr>
                <w:rStyle w:val="Hiperligao"/>
                <w:b/>
                <w:bCs/>
              </w:rPr>
              <w:t>Princípios Gerais para a elaboração de um Estudo de Viabilidade Financeira</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_Toc136629395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5</w:t>
            </w:r>
            <w:r w:rsidR="005F333A" w:rsidRPr="005F333A">
              <w:rPr>
                <w:rStyle w:val="Hiperligao"/>
                <w:webHidden/>
              </w:rPr>
              <w:fldChar w:fldCharType="end"/>
            </w:r>
          </w:hyperlink>
        </w:p>
        <w:p w14:paraId="6FA606A2" w14:textId="77777777" w:rsidR="005F333A" w:rsidRPr="005F333A" w:rsidRDefault="00B863B8" w:rsidP="005F333A">
          <w:pPr>
            <w:spacing w:line="240" w:lineRule="auto"/>
          </w:pPr>
          <w:hyperlink w:anchor="_Toc136629396" w:history="1">
            <w:r w:rsidR="005F333A" w:rsidRPr="005F333A">
              <w:rPr>
                <w:rStyle w:val="Hiperligao"/>
                <w:b/>
                <w:bCs/>
              </w:rPr>
              <w:t>2.1.</w:t>
            </w:r>
            <w:r w:rsidR="005F333A" w:rsidRPr="005F333A">
              <w:rPr>
                <w:rStyle w:val="Hiperligao"/>
              </w:rPr>
              <w:tab/>
            </w:r>
            <w:r w:rsidR="005F333A" w:rsidRPr="005F333A">
              <w:rPr>
                <w:rStyle w:val="Hiperligao"/>
                <w:b/>
                <w:bCs/>
              </w:rPr>
              <w:t>Descrição do Contexto</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_Toc136629396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7</w:t>
            </w:r>
            <w:r w:rsidR="005F333A" w:rsidRPr="005F333A">
              <w:rPr>
                <w:rStyle w:val="Hiperligao"/>
                <w:webHidden/>
              </w:rPr>
              <w:fldChar w:fldCharType="end"/>
            </w:r>
          </w:hyperlink>
        </w:p>
        <w:p w14:paraId="4F596432" w14:textId="77777777" w:rsidR="005F333A" w:rsidRPr="005F333A" w:rsidRDefault="00B863B8" w:rsidP="005F333A">
          <w:pPr>
            <w:spacing w:line="240" w:lineRule="auto"/>
          </w:pPr>
          <w:hyperlink w:anchor="_Toc136629397" w:history="1">
            <w:r w:rsidR="005F333A" w:rsidRPr="005F333A">
              <w:rPr>
                <w:rStyle w:val="Hiperligao"/>
                <w:b/>
                <w:bCs/>
              </w:rPr>
              <w:t>2.2.</w:t>
            </w:r>
            <w:r w:rsidR="005F333A" w:rsidRPr="005F333A">
              <w:rPr>
                <w:rStyle w:val="Hiperligao"/>
              </w:rPr>
              <w:tab/>
            </w:r>
            <w:r w:rsidR="005F333A" w:rsidRPr="005F333A">
              <w:rPr>
                <w:rStyle w:val="Hiperligao"/>
                <w:b/>
                <w:bCs/>
              </w:rPr>
              <w:t>Definição dos Objetivos</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_Toc136629397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8</w:t>
            </w:r>
            <w:r w:rsidR="005F333A" w:rsidRPr="005F333A">
              <w:rPr>
                <w:rStyle w:val="Hiperligao"/>
                <w:webHidden/>
              </w:rPr>
              <w:fldChar w:fldCharType="end"/>
            </w:r>
          </w:hyperlink>
        </w:p>
        <w:p w14:paraId="3365A902" w14:textId="77777777" w:rsidR="005F333A" w:rsidRPr="005F333A" w:rsidRDefault="00B863B8" w:rsidP="005F333A">
          <w:pPr>
            <w:spacing w:line="240" w:lineRule="auto"/>
          </w:pPr>
          <w:hyperlink w:anchor="_Toc136629398" w:history="1">
            <w:r w:rsidR="005F333A" w:rsidRPr="005F333A">
              <w:rPr>
                <w:rStyle w:val="Hiperligao"/>
                <w:b/>
                <w:bCs/>
              </w:rPr>
              <w:t>2.3.</w:t>
            </w:r>
            <w:r w:rsidR="005F333A" w:rsidRPr="005F333A">
              <w:rPr>
                <w:rStyle w:val="Hiperligao"/>
              </w:rPr>
              <w:tab/>
            </w:r>
            <w:r w:rsidR="005F333A" w:rsidRPr="005F333A">
              <w:rPr>
                <w:rStyle w:val="Hiperligao"/>
                <w:b/>
                <w:bCs/>
              </w:rPr>
              <w:t>Identificação do Projeto</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_Toc136629398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8</w:t>
            </w:r>
            <w:r w:rsidR="005F333A" w:rsidRPr="005F333A">
              <w:rPr>
                <w:rStyle w:val="Hiperligao"/>
                <w:webHidden/>
              </w:rPr>
              <w:fldChar w:fldCharType="end"/>
            </w:r>
          </w:hyperlink>
        </w:p>
        <w:p w14:paraId="5E117935" w14:textId="77777777" w:rsidR="005F333A" w:rsidRPr="005F333A" w:rsidRDefault="00B863B8" w:rsidP="005F333A">
          <w:pPr>
            <w:spacing w:line="240" w:lineRule="auto"/>
          </w:pPr>
          <w:hyperlink w:anchor="_Toc136629399" w:history="1">
            <w:r w:rsidR="005F333A" w:rsidRPr="005F333A">
              <w:rPr>
                <w:rStyle w:val="Hiperligao"/>
                <w:b/>
                <w:bCs/>
              </w:rPr>
              <w:t>2.4.</w:t>
            </w:r>
            <w:r w:rsidR="005F333A" w:rsidRPr="005F333A">
              <w:rPr>
                <w:rStyle w:val="Hiperligao"/>
              </w:rPr>
              <w:tab/>
            </w:r>
            <w:r w:rsidR="005F333A" w:rsidRPr="005F333A">
              <w:rPr>
                <w:rStyle w:val="Hiperligao"/>
                <w:b/>
                <w:bCs/>
              </w:rPr>
              <w:t>Viabilidade Técnica do Projeto/Estudos Técnicos</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_Toc136629399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9</w:t>
            </w:r>
            <w:r w:rsidR="005F333A" w:rsidRPr="005F333A">
              <w:rPr>
                <w:rStyle w:val="Hiperligao"/>
                <w:webHidden/>
              </w:rPr>
              <w:fldChar w:fldCharType="end"/>
            </w:r>
          </w:hyperlink>
        </w:p>
        <w:p w14:paraId="5F63CB08" w14:textId="77777777" w:rsidR="005F333A" w:rsidRPr="005F333A" w:rsidRDefault="00B863B8" w:rsidP="005F333A">
          <w:pPr>
            <w:spacing w:line="240" w:lineRule="auto"/>
          </w:pPr>
          <w:hyperlink w:anchor="_Toc136629400" w:history="1">
            <w:r w:rsidR="005F333A" w:rsidRPr="005F333A">
              <w:rPr>
                <w:rStyle w:val="Hiperligao"/>
                <w:b/>
                <w:bCs/>
              </w:rPr>
              <w:t>2.4.1.</w:t>
            </w:r>
            <w:r w:rsidR="005F333A" w:rsidRPr="005F333A">
              <w:rPr>
                <w:rStyle w:val="Hiperligao"/>
              </w:rPr>
              <w:tab/>
            </w:r>
            <w:r w:rsidR="005F333A" w:rsidRPr="005F333A">
              <w:rPr>
                <w:rStyle w:val="Hiperligao"/>
                <w:b/>
                <w:bCs/>
              </w:rPr>
              <w:t>Estudo da Procura</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_Toc136629400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9</w:t>
            </w:r>
            <w:r w:rsidR="005F333A" w:rsidRPr="005F333A">
              <w:rPr>
                <w:rStyle w:val="Hiperligao"/>
                <w:webHidden/>
              </w:rPr>
              <w:fldChar w:fldCharType="end"/>
            </w:r>
          </w:hyperlink>
        </w:p>
        <w:p w14:paraId="1270D783" w14:textId="77777777" w:rsidR="005F333A" w:rsidRPr="005F333A" w:rsidRDefault="00B863B8" w:rsidP="005F333A">
          <w:pPr>
            <w:spacing w:line="240" w:lineRule="auto"/>
          </w:pPr>
          <w:hyperlink w:anchor="_Toc136629401" w:history="1">
            <w:r w:rsidR="005F333A" w:rsidRPr="005F333A">
              <w:rPr>
                <w:rStyle w:val="Hiperligao"/>
                <w:b/>
                <w:bCs/>
              </w:rPr>
              <w:t>2.4.2.</w:t>
            </w:r>
            <w:r w:rsidR="005F333A" w:rsidRPr="005F333A">
              <w:rPr>
                <w:rStyle w:val="Hiperligao"/>
              </w:rPr>
              <w:tab/>
            </w:r>
            <w:r w:rsidR="005F333A" w:rsidRPr="005F333A">
              <w:rPr>
                <w:rStyle w:val="Hiperligao"/>
                <w:b/>
                <w:bCs/>
              </w:rPr>
              <w:t>Projeto Técnico, Estimativas de Custo e Cronograma de Implementação</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_Toc136629401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11</w:t>
            </w:r>
            <w:r w:rsidR="005F333A" w:rsidRPr="005F333A">
              <w:rPr>
                <w:rStyle w:val="Hiperligao"/>
                <w:webHidden/>
              </w:rPr>
              <w:fldChar w:fldCharType="end"/>
            </w:r>
          </w:hyperlink>
        </w:p>
        <w:p w14:paraId="0E087BC2" w14:textId="77777777" w:rsidR="005F333A" w:rsidRPr="005F333A" w:rsidRDefault="00B863B8" w:rsidP="005F333A">
          <w:pPr>
            <w:spacing w:line="240" w:lineRule="auto"/>
          </w:pPr>
          <w:hyperlink w:anchor="_Toc136629402" w:history="1">
            <w:r w:rsidR="005F333A" w:rsidRPr="005F333A">
              <w:rPr>
                <w:rStyle w:val="Hiperligao"/>
                <w:b/>
                <w:bCs/>
              </w:rPr>
              <w:t>2.5.</w:t>
            </w:r>
            <w:r w:rsidR="005F333A" w:rsidRPr="005F333A">
              <w:rPr>
                <w:rStyle w:val="Hiperligao"/>
              </w:rPr>
              <w:tab/>
            </w:r>
            <w:r w:rsidR="005F333A" w:rsidRPr="005F333A">
              <w:rPr>
                <w:rStyle w:val="Hiperligao"/>
                <w:b/>
                <w:bCs/>
              </w:rPr>
              <w:t>Análise Financeira</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_Toc136629402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11</w:t>
            </w:r>
            <w:r w:rsidR="005F333A" w:rsidRPr="005F333A">
              <w:rPr>
                <w:rStyle w:val="Hiperligao"/>
                <w:webHidden/>
              </w:rPr>
              <w:fldChar w:fldCharType="end"/>
            </w:r>
          </w:hyperlink>
        </w:p>
        <w:p w14:paraId="768079AB" w14:textId="77777777" w:rsidR="005F333A" w:rsidRPr="005F333A" w:rsidRDefault="00B863B8" w:rsidP="005F333A">
          <w:pPr>
            <w:spacing w:line="240" w:lineRule="auto"/>
          </w:pPr>
          <w:hyperlink w:anchor="_Toc136629403" w:history="1">
            <w:r w:rsidR="005F333A" w:rsidRPr="005F333A">
              <w:rPr>
                <w:rStyle w:val="Hiperligao"/>
                <w:b/>
                <w:bCs/>
              </w:rPr>
              <w:t>2.5.1.</w:t>
            </w:r>
            <w:r w:rsidR="005F333A" w:rsidRPr="005F333A">
              <w:rPr>
                <w:rStyle w:val="Hiperligao"/>
              </w:rPr>
              <w:tab/>
            </w:r>
            <w:r w:rsidR="005F333A" w:rsidRPr="005F333A">
              <w:rPr>
                <w:rStyle w:val="Hiperligao"/>
                <w:b/>
                <w:bCs/>
              </w:rPr>
              <w:t>Metodologia</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_Toc136629403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12</w:t>
            </w:r>
            <w:r w:rsidR="005F333A" w:rsidRPr="005F333A">
              <w:rPr>
                <w:rStyle w:val="Hiperligao"/>
                <w:webHidden/>
              </w:rPr>
              <w:fldChar w:fldCharType="end"/>
            </w:r>
          </w:hyperlink>
        </w:p>
        <w:p w14:paraId="39C89E2A" w14:textId="77777777" w:rsidR="005F333A" w:rsidRPr="005F333A" w:rsidRDefault="00B863B8" w:rsidP="005F333A">
          <w:pPr>
            <w:spacing w:line="240" w:lineRule="auto"/>
          </w:pPr>
          <w:hyperlink w:anchor="_Toc136629404" w:history="1">
            <w:r w:rsidR="005F333A" w:rsidRPr="005F333A">
              <w:rPr>
                <w:rStyle w:val="Hiperligao"/>
                <w:b/>
                <w:bCs/>
              </w:rPr>
              <w:t>2.5.2.</w:t>
            </w:r>
            <w:r w:rsidR="005F333A" w:rsidRPr="005F333A">
              <w:rPr>
                <w:rStyle w:val="Hiperligao"/>
              </w:rPr>
              <w:tab/>
            </w:r>
            <w:r w:rsidR="005F333A" w:rsidRPr="005F333A">
              <w:rPr>
                <w:rStyle w:val="Hiperligao"/>
                <w:b/>
                <w:bCs/>
              </w:rPr>
              <w:t>Custo do Investimento, Custos de Substituição e Valor Residual</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_Toc136629404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15</w:t>
            </w:r>
            <w:r w:rsidR="005F333A" w:rsidRPr="005F333A">
              <w:rPr>
                <w:rStyle w:val="Hiperligao"/>
                <w:webHidden/>
              </w:rPr>
              <w:fldChar w:fldCharType="end"/>
            </w:r>
          </w:hyperlink>
        </w:p>
        <w:p w14:paraId="606893A3" w14:textId="77777777" w:rsidR="005F333A" w:rsidRPr="005F333A" w:rsidRDefault="00B863B8" w:rsidP="005F333A">
          <w:pPr>
            <w:spacing w:line="240" w:lineRule="auto"/>
          </w:pPr>
          <w:hyperlink w:anchor="_Toc136629405" w:history="1">
            <w:r w:rsidR="005F333A" w:rsidRPr="005F333A">
              <w:rPr>
                <w:rStyle w:val="Hiperligao"/>
                <w:b/>
                <w:bCs/>
              </w:rPr>
              <w:t>2.5.3.</w:t>
            </w:r>
            <w:r w:rsidR="005F333A" w:rsidRPr="005F333A">
              <w:rPr>
                <w:rStyle w:val="Hiperligao"/>
              </w:rPr>
              <w:tab/>
            </w:r>
            <w:r w:rsidR="005F333A" w:rsidRPr="005F333A">
              <w:rPr>
                <w:rStyle w:val="Hiperligao"/>
                <w:b/>
                <w:bCs/>
              </w:rPr>
              <w:t>Custos e Receitas Operacionais</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_Toc136629405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16</w:t>
            </w:r>
            <w:r w:rsidR="005F333A" w:rsidRPr="005F333A">
              <w:rPr>
                <w:rStyle w:val="Hiperligao"/>
                <w:webHidden/>
              </w:rPr>
              <w:fldChar w:fldCharType="end"/>
            </w:r>
          </w:hyperlink>
        </w:p>
        <w:p w14:paraId="26F4C103" w14:textId="77777777" w:rsidR="005F333A" w:rsidRPr="005F333A" w:rsidRDefault="00B863B8" w:rsidP="005F333A">
          <w:pPr>
            <w:spacing w:line="240" w:lineRule="auto"/>
          </w:pPr>
          <w:hyperlink w:anchor="_Toc136629406" w:history="1">
            <w:r w:rsidR="005F333A" w:rsidRPr="005F333A">
              <w:rPr>
                <w:rStyle w:val="Hiperligao"/>
                <w:b/>
                <w:bCs/>
              </w:rPr>
              <w:t>2.5.4.</w:t>
            </w:r>
            <w:r w:rsidR="005F333A" w:rsidRPr="005F333A">
              <w:rPr>
                <w:rStyle w:val="Hiperligao"/>
              </w:rPr>
              <w:tab/>
            </w:r>
            <w:r w:rsidR="005F333A" w:rsidRPr="005F333A">
              <w:rPr>
                <w:rStyle w:val="Hiperligao"/>
                <w:b/>
                <w:bCs/>
              </w:rPr>
              <w:t>Fontes de Financiamento</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_Toc136629406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17</w:t>
            </w:r>
            <w:r w:rsidR="005F333A" w:rsidRPr="005F333A">
              <w:rPr>
                <w:rStyle w:val="Hiperligao"/>
                <w:webHidden/>
              </w:rPr>
              <w:fldChar w:fldCharType="end"/>
            </w:r>
          </w:hyperlink>
        </w:p>
        <w:p w14:paraId="169D600B" w14:textId="77777777" w:rsidR="005F333A" w:rsidRPr="005F333A" w:rsidRDefault="00B863B8" w:rsidP="005F333A">
          <w:pPr>
            <w:spacing w:line="240" w:lineRule="auto"/>
          </w:pPr>
          <w:hyperlink w:anchor="_Toc136629407" w:history="1">
            <w:r w:rsidR="005F333A" w:rsidRPr="005F333A">
              <w:rPr>
                <w:rStyle w:val="Hiperligao"/>
                <w:b/>
                <w:bCs/>
              </w:rPr>
              <w:t>2.5.5.</w:t>
            </w:r>
            <w:r w:rsidR="005F333A" w:rsidRPr="005F333A">
              <w:rPr>
                <w:rStyle w:val="Hiperligao"/>
              </w:rPr>
              <w:tab/>
            </w:r>
            <w:r w:rsidR="005F333A" w:rsidRPr="005F333A">
              <w:rPr>
                <w:rStyle w:val="Hiperligao"/>
                <w:b/>
                <w:bCs/>
              </w:rPr>
              <w:t>Rentabilidade Financeira do Investimento</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_Toc136629407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18</w:t>
            </w:r>
            <w:r w:rsidR="005F333A" w:rsidRPr="005F333A">
              <w:rPr>
                <w:rStyle w:val="Hiperligao"/>
                <w:webHidden/>
              </w:rPr>
              <w:fldChar w:fldCharType="end"/>
            </w:r>
          </w:hyperlink>
        </w:p>
        <w:p w14:paraId="2E7A3235" w14:textId="77777777" w:rsidR="005F333A" w:rsidRPr="005F333A" w:rsidRDefault="00B863B8" w:rsidP="005F333A">
          <w:pPr>
            <w:spacing w:line="240" w:lineRule="auto"/>
          </w:pPr>
          <w:hyperlink w:anchor="_Toc136629408" w:history="1">
            <w:r w:rsidR="005F333A" w:rsidRPr="005F333A">
              <w:rPr>
                <w:rStyle w:val="Hiperligao"/>
                <w:b/>
                <w:bCs/>
              </w:rPr>
              <w:t>2.5.6.</w:t>
            </w:r>
            <w:r w:rsidR="005F333A" w:rsidRPr="005F333A">
              <w:rPr>
                <w:rStyle w:val="Hiperligao"/>
              </w:rPr>
              <w:tab/>
            </w:r>
            <w:r w:rsidR="005F333A" w:rsidRPr="005F333A">
              <w:rPr>
                <w:rStyle w:val="Hiperligao"/>
                <w:b/>
                <w:bCs/>
              </w:rPr>
              <w:t>Sustentabilidade Financeira do Investimento</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_Toc136629408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19</w:t>
            </w:r>
            <w:r w:rsidR="005F333A" w:rsidRPr="005F333A">
              <w:rPr>
                <w:rStyle w:val="Hiperligao"/>
                <w:webHidden/>
              </w:rPr>
              <w:fldChar w:fldCharType="end"/>
            </w:r>
          </w:hyperlink>
        </w:p>
        <w:p w14:paraId="20E4D52D" w14:textId="77777777" w:rsidR="005F333A" w:rsidRPr="005F333A" w:rsidRDefault="00B863B8" w:rsidP="005F333A">
          <w:pPr>
            <w:spacing w:line="240" w:lineRule="auto"/>
          </w:pPr>
          <w:hyperlink w:anchor="_Toc136629409" w:history="1">
            <w:r w:rsidR="005F333A" w:rsidRPr="005F333A">
              <w:rPr>
                <w:rStyle w:val="Hiperligao"/>
                <w:b/>
                <w:bCs/>
              </w:rPr>
              <w:t>3.</w:t>
            </w:r>
            <w:r w:rsidR="005F333A" w:rsidRPr="005F333A">
              <w:rPr>
                <w:rStyle w:val="Hiperligao"/>
              </w:rPr>
              <w:tab/>
            </w:r>
            <w:r w:rsidR="005F333A" w:rsidRPr="005F333A">
              <w:rPr>
                <w:rStyle w:val="Hiperligao"/>
                <w:b/>
                <w:bCs/>
              </w:rPr>
              <w:t>Financiamento Comunitário</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_Toc136629409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21</w:t>
            </w:r>
            <w:r w:rsidR="005F333A" w:rsidRPr="005F333A">
              <w:rPr>
                <w:rStyle w:val="Hiperligao"/>
                <w:webHidden/>
              </w:rPr>
              <w:fldChar w:fldCharType="end"/>
            </w:r>
          </w:hyperlink>
        </w:p>
        <w:p w14:paraId="05D2E27D" w14:textId="77777777" w:rsidR="005F333A" w:rsidRPr="005F333A" w:rsidRDefault="00B863B8" w:rsidP="005F333A">
          <w:pPr>
            <w:spacing w:line="240" w:lineRule="auto"/>
          </w:pPr>
          <w:hyperlink w:anchor="_Toc136629410" w:history="1">
            <w:r w:rsidR="005F333A" w:rsidRPr="005F333A">
              <w:rPr>
                <w:rStyle w:val="Hiperligao"/>
                <w:b/>
                <w:bCs/>
              </w:rPr>
              <w:t>3.1.</w:t>
            </w:r>
            <w:r w:rsidR="005F333A" w:rsidRPr="005F333A">
              <w:rPr>
                <w:rStyle w:val="Hiperligao"/>
              </w:rPr>
              <w:tab/>
            </w:r>
            <w:r w:rsidR="005F333A" w:rsidRPr="005F333A">
              <w:rPr>
                <w:rStyle w:val="Hiperligao"/>
                <w:b/>
                <w:bCs/>
              </w:rPr>
              <w:t>Operações Não Geradoras de Receitas Líquidas</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_Toc136629410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22</w:t>
            </w:r>
            <w:r w:rsidR="005F333A" w:rsidRPr="005F333A">
              <w:rPr>
                <w:rStyle w:val="Hiperligao"/>
                <w:webHidden/>
              </w:rPr>
              <w:fldChar w:fldCharType="end"/>
            </w:r>
          </w:hyperlink>
        </w:p>
        <w:p w14:paraId="06477F4D" w14:textId="77777777" w:rsidR="005F333A" w:rsidRPr="005F333A" w:rsidRDefault="00B863B8" w:rsidP="005F333A">
          <w:pPr>
            <w:spacing w:line="240" w:lineRule="auto"/>
          </w:pPr>
          <w:hyperlink w:anchor="_Toc136629411" w:history="1">
            <w:r w:rsidR="005F333A" w:rsidRPr="005F333A">
              <w:rPr>
                <w:rStyle w:val="Hiperligao"/>
                <w:b/>
                <w:bCs/>
              </w:rPr>
              <w:t>3.2.</w:t>
            </w:r>
            <w:r w:rsidR="005F333A" w:rsidRPr="005F333A">
              <w:rPr>
                <w:rStyle w:val="Hiperligao"/>
              </w:rPr>
              <w:tab/>
            </w:r>
            <w:r w:rsidR="005F333A" w:rsidRPr="005F333A">
              <w:rPr>
                <w:rStyle w:val="Hiperligao"/>
                <w:b/>
                <w:bCs/>
              </w:rPr>
              <w:t>Operações Geradoras de Receitas Líquidas e Aplicação do Método do Défice de Financiamento</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_Toc136629411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23</w:t>
            </w:r>
            <w:r w:rsidR="005F333A" w:rsidRPr="005F333A">
              <w:rPr>
                <w:rStyle w:val="Hiperligao"/>
                <w:webHidden/>
              </w:rPr>
              <w:fldChar w:fldCharType="end"/>
            </w:r>
          </w:hyperlink>
        </w:p>
        <w:p w14:paraId="7FEB4EB0" w14:textId="77777777" w:rsidR="005F333A" w:rsidRPr="005F333A" w:rsidRDefault="00B863B8" w:rsidP="005F333A">
          <w:pPr>
            <w:spacing w:line="240" w:lineRule="auto"/>
          </w:pPr>
          <w:hyperlink w:anchor="_Toc136629412" w:history="1">
            <w:r w:rsidR="005F333A" w:rsidRPr="005F333A">
              <w:rPr>
                <w:rStyle w:val="Hiperligao"/>
                <w:b/>
                <w:bCs/>
              </w:rPr>
              <w:t>3.3.</w:t>
            </w:r>
            <w:r w:rsidR="005F333A" w:rsidRPr="005F333A">
              <w:rPr>
                <w:rStyle w:val="Hiperligao"/>
              </w:rPr>
              <w:tab/>
            </w:r>
            <w:r w:rsidR="005F333A" w:rsidRPr="005F333A">
              <w:rPr>
                <w:rStyle w:val="Hiperligao"/>
                <w:b/>
                <w:bCs/>
              </w:rPr>
              <w:t>Auxílios de Estado</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_Toc136629412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23</w:t>
            </w:r>
            <w:r w:rsidR="005F333A" w:rsidRPr="005F333A">
              <w:rPr>
                <w:rStyle w:val="Hiperligao"/>
                <w:webHidden/>
              </w:rPr>
              <w:fldChar w:fldCharType="end"/>
            </w:r>
          </w:hyperlink>
        </w:p>
        <w:p w14:paraId="0136AC1B" w14:textId="77777777" w:rsidR="005F333A" w:rsidRPr="005F333A" w:rsidRDefault="00B863B8" w:rsidP="005F333A">
          <w:pPr>
            <w:spacing w:line="240" w:lineRule="auto"/>
          </w:pPr>
          <w:hyperlink w:anchor="_Toc136629413" w:history="1">
            <w:r w:rsidR="005F333A" w:rsidRPr="005F333A">
              <w:rPr>
                <w:rStyle w:val="Hiperligao"/>
                <w:b/>
                <w:bCs/>
              </w:rPr>
              <w:t>4.</w:t>
            </w:r>
            <w:r w:rsidR="005F333A" w:rsidRPr="005F333A">
              <w:rPr>
                <w:rStyle w:val="Hiperligao"/>
              </w:rPr>
              <w:tab/>
            </w:r>
            <w:r w:rsidR="005F333A" w:rsidRPr="005F333A">
              <w:rPr>
                <w:rStyle w:val="Hiperligao"/>
                <w:b/>
                <w:bCs/>
              </w:rPr>
              <w:t>Acompanhamento e quantificação da receita líquida</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_Toc136629413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24</w:t>
            </w:r>
            <w:r w:rsidR="005F333A" w:rsidRPr="005F333A">
              <w:rPr>
                <w:rStyle w:val="Hiperligao"/>
                <w:webHidden/>
              </w:rPr>
              <w:fldChar w:fldCharType="end"/>
            </w:r>
          </w:hyperlink>
        </w:p>
        <w:p w14:paraId="29752628" w14:textId="77777777" w:rsidR="005F333A" w:rsidRPr="005F333A" w:rsidRDefault="00B863B8" w:rsidP="005F333A">
          <w:pPr>
            <w:spacing w:line="240" w:lineRule="auto"/>
          </w:pPr>
          <w:hyperlink w:anchor="_Toc136629414" w:history="1">
            <w:r w:rsidR="005F333A" w:rsidRPr="005F333A">
              <w:rPr>
                <w:rStyle w:val="Hiperligao"/>
                <w:b/>
              </w:rPr>
              <w:t>Anexo 1 - Modelo de Declaração de Sustentabilidade (cf. ponto 2)</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_Toc136629414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27</w:t>
            </w:r>
            <w:r w:rsidR="005F333A" w:rsidRPr="005F333A">
              <w:rPr>
                <w:rStyle w:val="Hiperligao"/>
                <w:webHidden/>
              </w:rPr>
              <w:fldChar w:fldCharType="end"/>
            </w:r>
          </w:hyperlink>
        </w:p>
        <w:p w14:paraId="0E4595AA" w14:textId="77777777" w:rsidR="005F333A" w:rsidRPr="005F333A" w:rsidRDefault="00B863B8" w:rsidP="005F333A">
          <w:pPr>
            <w:spacing w:line="240" w:lineRule="auto"/>
          </w:pPr>
          <w:hyperlink w:anchor="_Toc136629415" w:history="1">
            <w:r w:rsidR="005F333A" w:rsidRPr="005F333A">
              <w:rPr>
                <w:rStyle w:val="Hiperligao"/>
                <w:b/>
              </w:rPr>
              <w:t>Anexo 2 - Declaração de Encerramento (cf. ponto 4)</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_Toc136629415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29</w:t>
            </w:r>
            <w:r w:rsidR="005F333A" w:rsidRPr="005F333A">
              <w:rPr>
                <w:rStyle w:val="Hiperligao"/>
                <w:webHidden/>
              </w:rPr>
              <w:fldChar w:fldCharType="end"/>
            </w:r>
          </w:hyperlink>
        </w:p>
        <w:p w14:paraId="1E8B6487" w14:textId="77777777" w:rsidR="005F333A" w:rsidRPr="005F333A" w:rsidRDefault="005F333A" w:rsidP="005F333A">
          <w:pPr>
            <w:spacing w:line="240" w:lineRule="auto"/>
          </w:pPr>
          <w:r w:rsidRPr="005F333A">
            <w:fldChar w:fldCharType="end"/>
          </w:r>
        </w:p>
      </w:sdtContent>
    </w:sdt>
    <w:p w14:paraId="649C4EFE" w14:textId="77777777" w:rsidR="005F333A" w:rsidRPr="005F333A" w:rsidRDefault="005F333A" w:rsidP="005F333A">
      <w:pPr>
        <w:spacing w:line="240" w:lineRule="auto"/>
        <w:rPr>
          <w:b/>
          <w:bCs/>
        </w:rPr>
      </w:pPr>
      <w:r w:rsidRPr="005F333A">
        <w:rPr>
          <w:b/>
          <w:bCs/>
        </w:rPr>
        <w:t>Índice de Tabelas</w:t>
      </w:r>
    </w:p>
    <w:p w14:paraId="5B8F5474" w14:textId="77777777" w:rsidR="005F333A" w:rsidRPr="005F333A" w:rsidRDefault="005F333A" w:rsidP="005F333A">
      <w:pPr>
        <w:spacing w:line="240" w:lineRule="auto"/>
      </w:pPr>
      <w:r w:rsidRPr="005F333A">
        <w:rPr>
          <w:b/>
          <w:bCs/>
        </w:rPr>
        <w:fldChar w:fldCharType="begin"/>
      </w:r>
      <w:r w:rsidRPr="005F333A">
        <w:rPr>
          <w:b/>
          <w:bCs/>
        </w:rPr>
        <w:instrText xml:space="preserve"> TOC \h \z \c "Tabela" </w:instrText>
      </w:r>
      <w:r w:rsidRPr="005F333A">
        <w:rPr>
          <w:b/>
          <w:bCs/>
        </w:rPr>
        <w:fldChar w:fldCharType="separate"/>
      </w:r>
      <w:hyperlink w:anchor="_Toc135994779" w:history="1">
        <w:r w:rsidRPr="005F333A">
          <w:rPr>
            <w:rStyle w:val="Hiperligao"/>
          </w:rPr>
          <w:t>Tabela 1 - Análise Incremental</w:t>
        </w:r>
        <w:r w:rsidRPr="005F333A">
          <w:rPr>
            <w:rStyle w:val="Hiperligao"/>
            <w:webHidden/>
          </w:rPr>
          <w:tab/>
        </w:r>
        <w:r w:rsidRPr="005F333A">
          <w:rPr>
            <w:rStyle w:val="Hiperligao"/>
            <w:webHidden/>
          </w:rPr>
          <w:fldChar w:fldCharType="begin"/>
        </w:r>
        <w:r w:rsidRPr="005F333A">
          <w:rPr>
            <w:rStyle w:val="Hiperligao"/>
            <w:webHidden/>
          </w:rPr>
          <w:instrText xml:space="preserve"> PAGEREF _Toc135994779 \h </w:instrText>
        </w:r>
        <w:r w:rsidRPr="005F333A">
          <w:rPr>
            <w:rStyle w:val="Hiperligao"/>
            <w:webHidden/>
          </w:rPr>
        </w:r>
        <w:r w:rsidRPr="005F333A">
          <w:rPr>
            <w:rStyle w:val="Hiperligao"/>
            <w:webHidden/>
          </w:rPr>
          <w:fldChar w:fldCharType="separate"/>
        </w:r>
        <w:r w:rsidRPr="005F333A">
          <w:rPr>
            <w:rStyle w:val="Hiperligao"/>
            <w:webHidden/>
          </w:rPr>
          <w:t>6</w:t>
        </w:r>
        <w:r w:rsidRPr="005F333A">
          <w:rPr>
            <w:rStyle w:val="Hiperligao"/>
            <w:webHidden/>
          </w:rPr>
          <w:fldChar w:fldCharType="end"/>
        </w:r>
      </w:hyperlink>
    </w:p>
    <w:p w14:paraId="24A7D722" w14:textId="77777777" w:rsidR="005F333A" w:rsidRPr="005F333A" w:rsidRDefault="00B863B8" w:rsidP="005F333A">
      <w:pPr>
        <w:spacing w:line="240" w:lineRule="auto"/>
      </w:pPr>
      <w:hyperlink w:anchor="_Toc135994780" w:history="1">
        <w:r w:rsidR="005F333A" w:rsidRPr="005F333A">
          <w:rPr>
            <w:rStyle w:val="Hiperligao"/>
          </w:rPr>
          <w:t>Tabela 2 - Períodos de Referência por Sector</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_Toc135994780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12</w:t>
        </w:r>
        <w:r w:rsidR="005F333A" w:rsidRPr="005F333A">
          <w:rPr>
            <w:rStyle w:val="Hiperligao"/>
            <w:webHidden/>
          </w:rPr>
          <w:fldChar w:fldCharType="end"/>
        </w:r>
      </w:hyperlink>
    </w:p>
    <w:p w14:paraId="55F509E5" w14:textId="77777777" w:rsidR="005F333A" w:rsidRPr="005F333A" w:rsidRDefault="00B863B8" w:rsidP="005F333A">
      <w:pPr>
        <w:spacing w:line="240" w:lineRule="auto"/>
      </w:pPr>
      <w:hyperlink w:anchor="_Toc135994781" w:history="1">
        <w:r w:rsidR="005F333A" w:rsidRPr="005F333A">
          <w:rPr>
            <w:rStyle w:val="Hiperligao"/>
          </w:rPr>
          <w:t>Tabela 3 - Síntese da Análise Financeira</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_Toc135994781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13</w:t>
        </w:r>
        <w:r w:rsidR="005F333A" w:rsidRPr="005F333A">
          <w:rPr>
            <w:rStyle w:val="Hiperligao"/>
            <w:webHidden/>
          </w:rPr>
          <w:fldChar w:fldCharType="end"/>
        </w:r>
      </w:hyperlink>
    </w:p>
    <w:p w14:paraId="3489682A" w14:textId="77777777" w:rsidR="005F333A" w:rsidRPr="005F333A" w:rsidRDefault="00B863B8" w:rsidP="005F333A">
      <w:pPr>
        <w:spacing w:line="240" w:lineRule="auto"/>
      </w:pPr>
      <w:hyperlink w:anchor="_Toc135994782" w:history="1">
        <w:r w:rsidR="005F333A" w:rsidRPr="005F333A">
          <w:rPr>
            <w:rStyle w:val="Hiperligao"/>
          </w:rPr>
          <w:t>Tabela 4 - Custos e Receitas Operacionais</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_Toc135994782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16</w:t>
        </w:r>
        <w:r w:rsidR="005F333A" w:rsidRPr="005F333A">
          <w:rPr>
            <w:rStyle w:val="Hiperligao"/>
            <w:webHidden/>
          </w:rPr>
          <w:fldChar w:fldCharType="end"/>
        </w:r>
      </w:hyperlink>
    </w:p>
    <w:p w14:paraId="166DE229" w14:textId="77777777" w:rsidR="005F333A" w:rsidRPr="005F333A" w:rsidRDefault="00B863B8" w:rsidP="005F333A">
      <w:pPr>
        <w:spacing w:line="240" w:lineRule="auto"/>
      </w:pPr>
      <w:hyperlink w:anchor="_Toc135994783" w:history="1">
        <w:r w:rsidR="005F333A" w:rsidRPr="005F333A">
          <w:rPr>
            <w:rStyle w:val="Hiperligao"/>
          </w:rPr>
          <w:t>Tabela 5 – Fontes de Financiamento</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_Toc135994783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17</w:t>
        </w:r>
        <w:r w:rsidR="005F333A" w:rsidRPr="005F333A">
          <w:rPr>
            <w:rStyle w:val="Hiperligao"/>
            <w:webHidden/>
          </w:rPr>
          <w:fldChar w:fldCharType="end"/>
        </w:r>
      </w:hyperlink>
    </w:p>
    <w:p w14:paraId="1089FCA3" w14:textId="77777777" w:rsidR="005F333A" w:rsidRPr="005F333A" w:rsidRDefault="00B863B8" w:rsidP="005F333A">
      <w:pPr>
        <w:spacing w:line="240" w:lineRule="auto"/>
      </w:pPr>
      <w:hyperlink w:anchor="_Toc135994784" w:history="1">
        <w:r w:rsidR="005F333A" w:rsidRPr="005F333A">
          <w:rPr>
            <w:rStyle w:val="Hiperligao"/>
          </w:rPr>
          <w:t>Tabela 6- Cálculo da Rentabilidade Financeira do Investimento</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_Toc135994784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18</w:t>
        </w:r>
        <w:r w:rsidR="005F333A" w:rsidRPr="005F333A">
          <w:rPr>
            <w:rStyle w:val="Hiperligao"/>
            <w:webHidden/>
          </w:rPr>
          <w:fldChar w:fldCharType="end"/>
        </w:r>
      </w:hyperlink>
    </w:p>
    <w:p w14:paraId="18ADC678" w14:textId="77777777" w:rsidR="005F333A" w:rsidRPr="005F333A" w:rsidRDefault="00B863B8" w:rsidP="005F333A">
      <w:pPr>
        <w:spacing w:line="240" w:lineRule="auto"/>
      </w:pPr>
      <w:hyperlink w:anchor="_Toc135994785" w:history="1">
        <w:r w:rsidR="005F333A" w:rsidRPr="005F333A">
          <w:rPr>
            <w:rStyle w:val="Hiperligao"/>
          </w:rPr>
          <w:t>Tabela 7- Sustentabilidade Financeira</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_Toc135994785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19</w:t>
        </w:r>
        <w:r w:rsidR="005F333A" w:rsidRPr="005F333A">
          <w:rPr>
            <w:rStyle w:val="Hiperligao"/>
            <w:webHidden/>
          </w:rPr>
          <w:fldChar w:fldCharType="end"/>
        </w:r>
      </w:hyperlink>
    </w:p>
    <w:p w14:paraId="5DA3A77C" w14:textId="77777777" w:rsidR="005F333A" w:rsidRPr="005F333A" w:rsidRDefault="00B863B8" w:rsidP="005F333A">
      <w:pPr>
        <w:spacing w:line="240" w:lineRule="auto"/>
      </w:pPr>
      <w:hyperlink w:anchor="_Toc135994786" w:history="1">
        <w:r w:rsidR="005F333A" w:rsidRPr="005F333A">
          <w:rPr>
            <w:rStyle w:val="Hiperligao"/>
          </w:rPr>
          <w:t>Tabela 8 - Apuramento do Défice de Financiamento (exemplo)</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_Toc135994786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22</w:t>
        </w:r>
        <w:r w:rsidR="005F333A" w:rsidRPr="005F333A">
          <w:rPr>
            <w:rStyle w:val="Hiperligao"/>
            <w:webHidden/>
          </w:rPr>
          <w:fldChar w:fldCharType="end"/>
        </w:r>
      </w:hyperlink>
    </w:p>
    <w:p w14:paraId="6A5D1B3B" w14:textId="77777777" w:rsidR="005F333A" w:rsidRPr="005F333A" w:rsidRDefault="005F333A" w:rsidP="005F333A">
      <w:pPr>
        <w:spacing w:line="240" w:lineRule="auto"/>
        <w:rPr>
          <w:b/>
          <w:bCs/>
        </w:rPr>
      </w:pPr>
      <w:r w:rsidRPr="005F333A">
        <w:fldChar w:fldCharType="end"/>
      </w:r>
    </w:p>
    <w:p w14:paraId="10EAA8D0" w14:textId="77777777" w:rsidR="005F333A" w:rsidRPr="005F333A" w:rsidRDefault="005F333A" w:rsidP="005F333A">
      <w:pPr>
        <w:spacing w:line="240" w:lineRule="auto"/>
        <w:rPr>
          <w:b/>
          <w:bCs/>
        </w:rPr>
      </w:pPr>
      <w:r w:rsidRPr="005F333A">
        <w:rPr>
          <w:b/>
          <w:bCs/>
        </w:rPr>
        <w:t>Índice de Figuras</w:t>
      </w:r>
    </w:p>
    <w:p w14:paraId="155AE924" w14:textId="77777777" w:rsidR="005F333A" w:rsidRPr="005F333A" w:rsidRDefault="005F333A" w:rsidP="005F333A">
      <w:pPr>
        <w:spacing w:line="240" w:lineRule="auto"/>
      </w:pPr>
      <w:r w:rsidRPr="005F333A">
        <w:rPr>
          <w:b/>
          <w:bCs/>
        </w:rPr>
        <w:fldChar w:fldCharType="begin"/>
      </w:r>
      <w:r w:rsidRPr="005F333A">
        <w:rPr>
          <w:b/>
          <w:bCs/>
        </w:rPr>
        <w:instrText xml:space="preserve"> TOC \h \z \c "Figura" </w:instrText>
      </w:r>
      <w:r w:rsidRPr="005F333A">
        <w:rPr>
          <w:b/>
          <w:bCs/>
        </w:rPr>
        <w:fldChar w:fldCharType="separate"/>
      </w:r>
      <w:hyperlink w:anchor="_Toc135994796" w:history="1">
        <w:r w:rsidRPr="005F333A">
          <w:rPr>
            <w:rStyle w:val="Hiperligao"/>
          </w:rPr>
          <w:t>Figura 1 - Estrutura da Análise Financeira</w:t>
        </w:r>
        <w:r w:rsidRPr="005F333A">
          <w:rPr>
            <w:rStyle w:val="Hiperligao"/>
            <w:webHidden/>
          </w:rPr>
          <w:tab/>
        </w:r>
        <w:r w:rsidRPr="005F333A">
          <w:rPr>
            <w:rStyle w:val="Hiperligao"/>
            <w:webHidden/>
          </w:rPr>
          <w:fldChar w:fldCharType="begin"/>
        </w:r>
        <w:r w:rsidRPr="005F333A">
          <w:rPr>
            <w:rStyle w:val="Hiperligao"/>
            <w:webHidden/>
          </w:rPr>
          <w:instrText xml:space="preserve"> PAGEREF _Toc135994796 \h </w:instrText>
        </w:r>
        <w:r w:rsidRPr="005F333A">
          <w:rPr>
            <w:rStyle w:val="Hiperligao"/>
            <w:webHidden/>
          </w:rPr>
        </w:r>
        <w:r w:rsidRPr="005F333A">
          <w:rPr>
            <w:rStyle w:val="Hiperligao"/>
            <w:webHidden/>
          </w:rPr>
          <w:fldChar w:fldCharType="separate"/>
        </w:r>
        <w:r w:rsidRPr="005F333A">
          <w:rPr>
            <w:rStyle w:val="Hiperligao"/>
            <w:webHidden/>
          </w:rPr>
          <w:t>13</w:t>
        </w:r>
        <w:r w:rsidRPr="005F333A">
          <w:rPr>
            <w:rStyle w:val="Hiperligao"/>
            <w:webHidden/>
          </w:rPr>
          <w:fldChar w:fldCharType="end"/>
        </w:r>
      </w:hyperlink>
    </w:p>
    <w:p w14:paraId="5BAEB8AF" w14:textId="77777777" w:rsidR="005F333A" w:rsidRPr="005F333A" w:rsidRDefault="00B863B8" w:rsidP="005F333A">
      <w:pPr>
        <w:spacing w:line="240" w:lineRule="auto"/>
      </w:pPr>
      <w:hyperlink w:anchor="_Toc135994797" w:history="1">
        <w:r w:rsidR="005F333A" w:rsidRPr="005F333A">
          <w:rPr>
            <w:rStyle w:val="Hiperligao"/>
          </w:rPr>
          <w:t>Figura 2 - Período para o Cálculo do Valor Residual</w:t>
        </w:r>
        <w:r w:rsidR="005F333A" w:rsidRPr="005F333A">
          <w:rPr>
            <w:rStyle w:val="Hiperligao"/>
            <w:webHidden/>
          </w:rPr>
          <w:tab/>
        </w:r>
        <w:r w:rsidR="005F333A" w:rsidRPr="005F333A">
          <w:rPr>
            <w:rStyle w:val="Hiperligao"/>
            <w:webHidden/>
          </w:rPr>
          <w:fldChar w:fldCharType="begin"/>
        </w:r>
        <w:r w:rsidR="005F333A" w:rsidRPr="005F333A">
          <w:rPr>
            <w:rStyle w:val="Hiperligao"/>
            <w:webHidden/>
          </w:rPr>
          <w:instrText xml:space="preserve"> PAGEREF _Toc135994797 \h </w:instrText>
        </w:r>
        <w:r w:rsidR="005F333A" w:rsidRPr="005F333A">
          <w:rPr>
            <w:rStyle w:val="Hiperligao"/>
            <w:webHidden/>
          </w:rPr>
        </w:r>
        <w:r w:rsidR="005F333A" w:rsidRPr="005F333A">
          <w:rPr>
            <w:rStyle w:val="Hiperligao"/>
            <w:webHidden/>
          </w:rPr>
          <w:fldChar w:fldCharType="separate"/>
        </w:r>
        <w:r w:rsidR="005F333A" w:rsidRPr="005F333A">
          <w:rPr>
            <w:rStyle w:val="Hiperligao"/>
            <w:webHidden/>
          </w:rPr>
          <w:t>15</w:t>
        </w:r>
        <w:r w:rsidR="005F333A" w:rsidRPr="005F333A">
          <w:rPr>
            <w:rStyle w:val="Hiperligao"/>
            <w:webHidden/>
          </w:rPr>
          <w:fldChar w:fldCharType="end"/>
        </w:r>
      </w:hyperlink>
    </w:p>
    <w:p w14:paraId="58EFEAAA" w14:textId="02A873AB" w:rsidR="005F333A" w:rsidRDefault="005F333A" w:rsidP="005F333A">
      <w:pPr>
        <w:spacing w:line="240" w:lineRule="auto"/>
      </w:pPr>
    </w:p>
    <w:p w14:paraId="68D5EDE4" w14:textId="77777777" w:rsidR="005F333A" w:rsidRDefault="005F333A" w:rsidP="005F333A">
      <w:pPr>
        <w:spacing w:line="240" w:lineRule="auto"/>
      </w:pPr>
    </w:p>
    <w:p w14:paraId="0D54E629" w14:textId="77777777" w:rsidR="005F333A" w:rsidRPr="005F333A" w:rsidRDefault="005F333A" w:rsidP="005F333A">
      <w:pPr>
        <w:spacing w:line="240" w:lineRule="auto"/>
      </w:pPr>
    </w:p>
    <w:p w14:paraId="070A547A" w14:textId="77777777" w:rsidR="005F333A" w:rsidRPr="005F333A" w:rsidRDefault="005F333A" w:rsidP="005F333A">
      <w:pPr>
        <w:spacing w:line="240" w:lineRule="auto"/>
        <w:rPr>
          <w:b/>
          <w:bCs/>
        </w:rPr>
      </w:pPr>
      <w:r w:rsidRPr="005F333A">
        <w:fldChar w:fldCharType="end"/>
      </w:r>
      <w:r w:rsidRPr="005F333A">
        <w:rPr>
          <w:b/>
          <w:bCs/>
        </w:rPr>
        <w:t>Siglas e Acrónimos</w:t>
      </w:r>
    </w:p>
    <w:p w14:paraId="32578232" w14:textId="77777777" w:rsidR="005F333A" w:rsidRPr="005F333A" w:rsidRDefault="005F333A" w:rsidP="005F333A">
      <w:pPr>
        <w:rPr>
          <w:b/>
          <w:bCs/>
        </w:rPr>
      </w:pPr>
    </w:p>
    <w:p w14:paraId="622A82A4" w14:textId="77777777" w:rsidR="005F333A" w:rsidRPr="005F333A" w:rsidRDefault="005F333A" w:rsidP="005F333A">
      <w:r w:rsidRPr="005F333A">
        <w:rPr>
          <w:b/>
          <w:bCs/>
        </w:rPr>
        <w:t xml:space="preserve">ACB </w:t>
      </w:r>
      <w:r w:rsidRPr="005F333A">
        <w:t>– Análise Custo-benefício</w:t>
      </w:r>
    </w:p>
    <w:p w14:paraId="13E2BC8D" w14:textId="77777777" w:rsidR="005F333A" w:rsidRPr="005F333A" w:rsidRDefault="005F333A" w:rsidP="005F333A">
      <w:r w:rsidRPr="005F333A">
        <w:rPr>
          <w:b/>
          <w:bCs/>
        </w:rPr>
        <w:t xml:space="preserve">BAU </w:t>
      </w:r>
      <w:r w:rsidRPr="005F333A">
        <w:t>– Business as Usual</w:t>
      </w:r>
    </w:p>
    <w:p w14:paraId="7C682112" w14:textId="77777777" w:rsidR="005F333A" w:rsidRPr="005F333A" w:rsidRDefault="005F333A" w:rsidP="005F333A">
      <w:r w:rsidRPr="005F333A">
        <w:rPr>
          <w:b/>
          <w:bCs/>
        </w:rPr>
        <w:t xml:space="preserve">EVF </w:t>
      </w:r>
      <w:r w:rsidRPr="005F333A">
        <w:t>– Estudo de Viabilidade Financeira</w:t>
      </w:r>
    </w:p>
    <w:p w14:paraId="41C9A40E" w14:textId="77777777" w:rsidR="005F333A" w:rsidRPr="005F333A" w:rsidRDefault="005F333A" w:rsidP="005F333A">
      <w:pPr>
        <w:rPr>
          <w:b/>
          <w:bCs/>
        </w:rPr>
      </w:pPr>
      <w:proofErr w:type="spellStart"/>
      <w:r w:rsidRPr="005F333A">
        <w:rPr>
          <w:b/>
          <w:bCs/>
        </w:rPr>
        <w:t>FdC</w:t>
      </w:r>
      <w:proofErr w:type="spellEnd"/>
      <w:r w:rsidRPr="005F333A">
        <w:rPr>
          <w:b/>
          <w:bCs/>
        </w:rPr>
        <w:t xml:space="preserve"> </w:t>
      </w:r>
      <w:r w:rsidRPr="005F333A">
        <w:t>– Fundo de Coesão</w:t>
      </w:r>
    </w:p>
    <w:p w14:paraId="6FA771F1" w14:textId="77777777" w:rsidR="005F333A" w:rsidRPr="005F333A" w:rsidRDefault="005F333A" w:rsidP="005F333A">
      <w:r w:rsidRPr="005F333A">
        <w:rPr>
          <w:b/>
          <w:bCs/>
        </w:rPr>
        <w:t xml:space="preserve">FEDER </w:t>
      </w:r>
      <w:r w:rsidRPr="005F333A">
        <w:t>- Fundo Europeu de Desenvolvimento Regional</w:t>
      </w:r>
    </w:p>
    <w:p w14:paraId="05CB27FC" w14:textId="77777777" w:rsidR="005F333A" w:rsidRPr="005F333A" w:rsidRDefault="005F333A" w:rsidP="005F333A">
      <w:r w:rsidRPr="005F333A">
        <w:rPr>
          <w:b/>
          <w:bCs/>
        </w:rPr>
        <w:t>IPC</w:t>
      </w:r>
      <w:r w:rsidRPr="005F333A">
        <w:t xml:space="preserve"> - Índice de Preços no Consumidor</w:t>
      </w:r>
    </w:p>
    <w:p w14:paraId="5DC9A4B8" w14:textId="77777777" w:rsidR="005F333A" w:rsidRPr="005F333A" w:rsidRDefault="005F333A" w:rsidP="005F333A">
      <w:r w:rsidRPr="005F333A">
        <w:rPr>
          <w:b/>
          <w:bCs/>
        </w:rPr>
        <w:t>TRF</w:t>
      </w:r>
      <w:r w:rsidRPr="005F333A">
        <w:t xml:space="preserve"> -Taxa Rentabilidade Financeira do Investimento</w:t>
      </w:r>
    </w:p>
    <w:p w14:paraId="1BC10D33" w14:textId="77777777" w:rsidR="005F333A" w:rsidRPr="005F333A" w:rsidRDefault="005F333A" w:rsidP="005F333A">
      <w:r w:rsidRPr="005F333A">
        <w:rPr>
          <w:b/>
          <w:bCs/>
        </w:rPr>
        <w:t>VALF</w:t>
      </w:r>
      <w:r w:rsidRPr="005F333A">
        <w:t xml:space="preserve"> - Valor Atual Líquido Financeiro do Investimento</w:t>
      </w:r>
    </w:p>
    <w:p w14:paraId="582415A6" w14:textId="77777777" w:rsidR="005F333A" w:rsidRPr="005F333A" w:rsidRDefault="005F333A" w:rsidP="005F333A"/>
    <w:p w14:paraId="148048E2" w14:textId="77777777" w:rsidR="005F333A" w:rsidRPr="005F333A" w:rsidRDefault="005F333A" w:rsidP="005F333A"/>
    <w:p w14:paraId="1878C545" w14:textId="77777777" w:rsidR="005F333A" w:rsidRPr="005F333A" w:rsidRDefault="005F333A" w:rsidP="005F333A">
      <w:pPr>
        <w:rPr>
          <w:b/>
          <w:bCs/>
        </w:rPr>
      </w:pPr>
      <w:r w:rsidRPr="005F333A">
        <w:rPr>
          <w:b/>
          <w:bCs/>
        </w:rPr>
        <w:t>Referências documentais e normativas</w:t>
      </w:r>
    </w:p>
    <w:tbl>
      <w:tblPr>
        <w:tblStyle w:val="TabelacomGrelha"/>
        <w:tblW w:w="9067" w:type="dxa"/>
        <w:tblLook w:val="04A0" w:firstRow="1" w:lastRow="0" w:firstColumn="1" w:lastColumn="0" w:noHBand="0" w:noVBand="1"/>
      </w:tblPr>
      <w:tblGrid>
        <w:gridCol w:w="9067"/>
      </w:tblGrid>
      <w:tr w:rsidR="005F333A" w:rsidRPr="005F333A" w14:paraId="39F50D05" w14:textId="77777777" w:rsidTr="001D647C">
        <w:tc>
          <w:tcPr>
            <w:tcW w:w="9067" w:type="dxa"/>
          </w:tcPr>
          <w:p w14:paraId="6C34A043" w14:textId="77777777" w:rsidR="005F333A" w:rsidRPr="005F333A" w:rsidRDefault="005F333A" w:rsidP="005F333A">
            <w:r w:rsidRPr="005F333A">
              <w:t xml:space="preserve">Regulamento (UE) 2021/1060 do Parlamento Europeu e do Conselho de 24 de junho de 2021 </w:t>
            </w:r>
          </w:p>
        </w:tc>
      </w:tr>
      <w:tr w:rsidR="005F333A" w:rsidRPr="005F333A" w14:paraId="141479F7" w14:textId="77777777" w:rsidTr="001D647C">
        <w:tc>
          <w:tcPr>
            <w:tcW w:w="9067" w:type="dxa"/>
          </w:tcPr>
          <w:p w14:paraId="09015B33" w14:textId="77777777" w:rsidR="005F333A" w:rsidRPr="005F333A" w:rsidRDefault="005F333A" w:rsidP="005F333A">
            <w:r w:rsidRPr="005F333A">
              <w:t>Regulamento Geral - Decreto-Lei n.º 20-A/2023, de 22 de março</w:t>
            </w:r>
          </w:p>
        </w:tc>
      </w:tr>
      <w:tr w:rsidR="005F333A" w:rsidRPr="005F333A" w14:paraId="043AD000" w14:textId="77777777" w:rsidTr="001D647C">
        <w:tc>
          <w:tcPr>
            <w:tcW w:w="9067" w:type="dxa"/>
          </w:tcPr>
          <w:p w14:paraId="7097A250" w14:textId="77777777" w:rsidR="005F333A" w:rsidRPr="005F333A" w:rsidRDefault="005F333A" w:rsidP="005F333A">
            <w:r w:rsidRPr="005F333A">
              <w:t xml:space="preserve">Regulamento Específico - </w:t>
            </w:r>
          </w:p>
        </w:tc>
      </w:tr>
      <w:tr w:rsidR="005F333A" w:rsidRPr="005F333A" w14:paraId="4008659D" w14:textId="77777777" w:rsidTr="001D647C">
        <w:tc>
          <w:tcPr>
            <w:tcW w:w="9067" w:type="dxa"/>
          </w:tcPr>
          <w:p w14:paraId="5F4A4A11" w14:textId="77777777" w:rsidR="005F333A" w:rsidRPr="005F333A" w:rsidRDefault="005F333A" w:rsidP="005F333A">
            <w:proofErr w:type="spellStart"/>
            <w:r w:rsidRPr="005F333A">
              <w:t>Economic</w:t>
            </w:r>
            <w:proofErr w:type="spellEnd"/>
            <w:r w:rsidRPr="005F333A">
              <w:t xml:space="preserve"> </w:t>
            </w:r>
            <w:proofErr w:type="spellStart"/>
            <w:r w:rsidRPr="005F333A">
              <w:t>Appraisal</w:t>
            </w:r>
            <w:proofErr w:type="spellEnd"/>
            <w:r w:rsidRPr="005F333A">
              <w:t> </w:t>
            </w:r>
            <w:proofErr w:type="spellStart"/>
            <w:r w:rsidRPr="005F333A">
              <w:t>Vademecum</w:t>
            </w:r>
            <w:proofErr w:type="spellEnd"/>
            <w:r w:rsidRPr="005F333A">
              <w:t xml:space="preserve"> (2021-2027)</w:t>
            </w:r>
          </w:p>
        </w:tc>
      </w:tr>
      <w:tr w:rsidR="005F333A" w:rsidRPr="00B863B8" w14:paraId="2F216ED4" w14:textId="77777777" w:rsidTr="001D647C">
        <w:tc>
          <w:tcPr>
            <w:tcW w:w="9067" w:type="dxa"/>
          </w:tcPr>
          <w:p w14:paraId="1D2F000B" w14:textId="77777777" w:rsidR="005F333A" w:rsidRPr="005F333A" w:rsidRDefault="005F333A" w:rsidP="005F333A">
            <w:pPr>
              <w:rPr>
                <w:lang w:val="en-GB"/>
              </w:rPr>
            </w:pPr>
            <w:r w:rsidRPr="005F333A">
              <w:rPr>
                <w:lang w:val="en-GB"/>
              </w:rPr>
              <w:t>Guide to Cost-Benefit Analysis of Investment Projects – December 2014</w:t>
            </w:r>
          </w:p>
        </w:tc>
      </w:tr>
      <w:tr w:rsidR="005F333A" w:rsidRPr="005F333A" w14:paraId="58BD04B7" w14:textId="77777777" w:rsidTr="001D647C">
        <w:tc>
          <w:tcPr>
            <w:tcW w:w="9067" w:type="dxa"/>
          </w:tcPr>
          <w:p w14:paraId="30A583C6" w14:textId="77777777" w:rsidR="005F333A" w:rsidRPr="005F333A" w:rsidRDefault="005F333A" w:rsidP="005F333A">
            <w:r w:rsidRPr="005F333A">
              <w:t>Regulamento (UE) n. º 1407/2013, da Comissão, de 18 de dezembro de 2013, na sua atual redação</w:t>
            </w:r>
          </w:p>
        </w:tc>
      </w:tr>
      <w:tr w:rsidR="005F333A" w:rsidRPr="005F333A" w14:paraId="2A3DCDA6" w14:textId="77777777" w:rsidTr="001D647C">
        <w:tc>
          <w:tcPr>
            <w:tcW w:w="9067" w:type="dxa"/>
          </w:tcPr>
          <w:p w14:paraId="666ACCC0" w14:textId="77777777" w:rsidR="005F333A" w:rsidRPr="005F333A" w:rsidRDefault="005F333A" w:rsidP="005F333A">
            <w:r w:rsidRPr="005F333A">
              <w:t>2012/21/UE: Decisão da Comissão de 20 de dezembro de 2011</w:t>
            </w:r>
          </w:p>
        </w:tc>
      </w:tr>
      <w:tr w:rsidR="005F333A" w:rsidRPr="005F333A" w14:paraId="4CBE0115" w14:textId="77777777" w:rsidTr="001D647C">
        <w:tc>
          <w:tcPr>
            <w:tcW w:w="9067" w:type="dxa"/>
          </w:tcPr>
          <w:p w14:paraId="2007225D" w14:textId="77777777" w:rsidR="005F333A" w:rsidRPr="005F333A" w:rsidRDefault="005F333A" w:rsidP="005F333A">
            <w:r w:rsidRPr="005F333A">
              <w:t xml:space="preserve">Regulamento (UE) n. º 651/2014, da Comissão, de 17 de junho de 2014, na sua atual redação, </w:t>
            </w:r>
          </w:p>
        </w:tc>
      </w:tr>
      <w:tr w:rsidR="005F333A" w:rsidRPr="005F333A" w14:paraId="16FEF5E8" w14:textId="77777777" w:rsidTr="001D647C">
        <w:tc>
          <w:tcPr>
            <w:tcW w:w="9067" w:type="dxa"/>
          </w:tcPr>
          <w:p w14:paraId="303C5E6B" w14:textId="77777777" w:rsidR="005F333A" w:rsidRPr="005F333A" w:rsidRDefault="005F333A" w:rsidP="005F333A">
            <w:r w:rsidRPr="005F333A">
              <w:t>TFUE (Tratado sobre o Funcionamento da União Europeia</w:t>
            </w:r>
          </w:p>
        </w:tc>
      </w:tr>
      <w:tr w:rsidR="005F333A" w:rsidRPr="005F333A" w14:paraId="1C40EF38" w14:textId="77777777" w:rsidTr="001D647C">
        <w:tc>
          <w:tcPr>
            <w:tcW w:w="9067" w:type="dxa"/>
          </w:tcPr>
          <w:p w14:paraId="4E2C8040" w14:textId="77777777" w:rsidR="005F333A" w:rsidRPr="005F333A" w:rsidRDefault="005F333A" w:rsidP="005F333A">
            <w:pPr>
              <w:rPr>
                <w:bCs/>
              </w:rPr>
            </w:pPr>
          </w:p>
        </w:tc>
      </w:tr>
    </w:tbl>
    <w:p w14:paraId="0225F444" w14:textId="77777777" w:rsidR="005F333A" w:rsidRPr="005F333A" w:rsidRDefault="005F333A" w:rsidP="005F333A">
      <w:pPr>
        <w:rPr>
          <w:b/>
          <w:bCs/>
        </w:rPr>
      </w:pPr>
      <w:r w:rsidRPr="005F333A">
        <w:rPr>
          <w:b/>
          <w:bCs/>
        </w:rPr>
        <w:br w:type="page"/>
      </w:r>
    </w:p>
    <w:p w14:paraId="05187BAB" w14:textId="77777777" w:rsidR="005F333A" w:rsidRPr="005F333A" w:rsidRDefault="005F333A" w:rsidP="005F333A">
      <w:pPr>
        <w:numPr>
          <w:ilvl w:val="0"/>
          <w:numId w:val="1"/>
        </w:numPr>
        <w:rPr>
          <w:b/>
          <w:bCs/>
        </w:rPr>
      </w:pPr>
      <w:bookmarkStart w:id="1" w:name="_Toc136629394"/>
      <w:r w:rsidRPr="005F333A">
        <w:rPr>
          <w:b/>
          <w:bCs/>
        </w:rPr>
        <w:lastRenderedPageBreak/>
        <w:t>Enquadramento</w:t>
      </w:r>
      <w:bookmarkEnd w:id="1"/>
    </w:p>
    <w:p w14:paraId="174D13FC" w14:textId="77777777" w:rsidR="005F333A" w:rsidRPr="005F333A" w:rsidRDefault="005F333A" w:rsidP="005F333A">
      <w:pPr>
        <w:spacing w:before="120" w:line="360" w:lineRule="auto"/>
        <w:jc w:val="both"/>
      </w:pPr>
      <w:r w:rsidRPr="005F333A">
        <w:t xml:space="preserve">O presente documento, </w:t>
      </w:r>
      <w:bookmarkStart w:id="2" w:name="_Hlk136623248"/>
      <w:r w:rsidRPr="005F333A">
        <w:t xml:space="preserve">“Orientações para a elaboração do Estudo de Viabilidade Financeira 2030”, </w:t>
      </w:r>
      <w:bookmarkEnd w:id="2"/>
      <w:r w:rsidRPr="005F333A">
        <w:t>tem o objetivo de sistematizar os procedimentos a adotar para os projetos geradores de receitas, em sede de apresentação de candidatura, para efeitos do cumprimento das alíneas c) e d), do n.º 2, do artigo 73, do Regulamento (UE) 2021/1060 do Parlamento Europeu e do Conselho, de 24 de junho de 2021, que estipulam que aquando da seleção das operações compete à autoridade de gestão</w:t>
      </w:r>
    </w:p>
    <w:p w14:paraId="0304723F" w14:textId="77777777" w:rsidR="005F333A" w:rsidRPr="005F333A" w:rsidRDefault="005F333A" w:rsidP="005F333A">
      <w:pPr>
        <w:spacing w:before="120" w:line="360" w:lineRule="auto"/>
        <w:jc w:val="both"/>
      </w:pPr>
      <w:r w:rsidRPr="005F333A">
        <w:t>-Garantir que as operações selecionadas apresentem a melhor relação possível entre o montante do apoio, as atividades realizadas e a consecução dos objetivos;</w:t>
      </w:r>
    </w:p>
    <w:p w14:paraId="5C9F9EF5" w14:textId="77777777" w:rsidR="005F333A" w:rsidRPr="005F333A" w:rsidRDefault="005F333A" w:rsidP="005F333A">
      <w:pPr>
        <w:spacing w:before="120" w:line="360" w:lineRule="auto"/>
        <w:jc w:val="both"/>
      </w:pPr>
      <w:r w:rsidRPr="005F333A">
        <w:t>-Verificar que o beneficiário dispõe dos recursos e mecanismos financeiros necessários para cobrir os custos de exploração e de manutenção no quadro das operações que incluam investimentos em infraestruturas ou investimentos produtivos, de modo a assegurar a sua sustentabilidade financeira.</w:t>
      </w:r>
    </w:p>
    <w:p w14:paraId="72A20AD0" w14:textId="77777777" w:rsidR="005F333A" w:rsidRPr="005F333A" w:rsidRDefault="005F333A" w:rsidP="005F333A">
      <w:pPr>
        <w:spacing w:before="120" w:line="360" w:lineRule="auto"/>
        <w:jc w:val="both"/>
      </w:pPr>
      <w:r w:rsidRPr="005F333A">
        <w:t>Neste sentido, torna-se necessária a elaboração de um Estudo de Viabilidade Financeira (doravante EVF) que garanta a melhor relação possível entre o Projeto e o montante de apoio, e que confirme que o Beneficiário dispõe dos recursos e mecanismos financeiros necessários à sua operacionalização.</w:t>
      </w:r>
    </w:p>
    <w:p w14:paraId="4D85B2A4" w14:textId="77777777" w:rsidR="005F333A" w:rsidRPr="005F333A" w:rsidRDefault="005F333A" w:rsidP="005F333A">
      <w:pPr>
        <w:spacing w:before="120" w:line="360" w:lineRule="auto"/>
        <w:jc w:val="both"/>
      </w:pPr>
      <w:r w:rsidRPr="005F333A">
        <w:t>Tendo presente a consolidação dos requisitos expressos nos normativos nacionais e comunitários, a potencialização do capital de conhecimento e a incorporação das boas práticas em termos de procedimentos assimilados, ao longo de diferentes períodos de programação, foi desenvolvida a abordagem metodológica seguidamente apresentada, e que deverá servir de orientação para os Beneficiários em sede de instrução de candidaturas.</w:t>
      </w:r>
    </w:p>
    <w:p w14:paraId="1D2318C5" w14:textId="77777777" w:rsidR="005F333A" w:rsidRPr="005F333A" w:rsidRDefault="005F333A" w:rsidP="005F333A">
      <w:pPr>
        <w:spacing w:before="120" w:line="360" w:lineRule="auto"/>
        <w:jc w:val="both"/>
      </w:pPr>
    </w:p>
    <w:p w14:paraId="6679F337" w14:textId="77777777" w:rsidR="005F333A" w:rsidRPr="005F333A" w:rsidRDefault="005F333A" w:rsidP="005F333A">
      <w:pPr>
        <w:numPr>
          <w:ilvl w:val="0"/>
          <w:numId w:val="1"/>
        </w:numPr>
        <w:spacing w:before="120" w:line="360" w:lineRule="auto"/>
        <w:jc w:val="both"/>
        <w:rPr>
          <w:b/>
          <w:bCs/>
        </w:rPr>
      </w:pPr>
      <w:bookmarkStart w:id="3" w:name="_Toc136629395"/>
      <w:r w:rsidRPr="005F333A">
        <w:rPr>
          <w:b/>
          <w:bCs/>
        </w:rPr>
        <w:t>Princípios Gerais para a elaboração de um Estudo de Viabilidade Financeira</w:t>
      </w:r>
      <w:bookmarkEnd w:id="3"/>
    </w:p>
    <w:p w14:paraId="6F7460EA" w14:textId="77777777" w:rsidR="005F333A" w:rsidRPr="005F333A" w:rsidRDefault="005F333A" w:rsidP="005F333A">
      <w:pPr>
        <w:spacing w:before="120" w:line="360" w:lineRule="auto"/>
        <w:jc w:val="both"/>
      </w:pPr>
      <w:bookmarkStart w:id="4" w:name="_Toc464485189"/>
      <w:r w:rsidRPr="005F333A">
        <w:t>O EVF é uma ferramenta que permite avaliar as vantagens e desvantagens, do ponto de vista financeiro, de determinado investimento, e deve ser apresentado no momento de submissão da candidatura. Esta análise compara o “</w:t>
      </w:r>
      <w:r w:rsidRPr="005F333A">
        <w:rPr>
          <w:i/>
          <w:iCs/>
        </w:rPr>
        <w:t>cenário com o investimento proposto</w:t>
      </w:r>
      <w:r w:rsidRPr="005F333A">
        <w:t>” e o “</w:t>
      </w:r>
      <w:r w:rsidRPr="005F333A">
        <w:rPr>
          <w:i/>
          <w:iCs/>
        </w:rPr>
        <w:t xml:space="preserve">cenário </w:t>
      </w:r>
      <w:proofErr w:type="spellStart"/>
      <w:r w:rsidRPr="005F333A">
        <w:rPr>
          <w:i/>
          <w:iCs/>
        </w:rPr>
        <w:t>contrafactual</w:t>
      </w:r>
      <w:proofErr w:type="spellEnd"/>
      <w:r w:rsidRPr="005F333A">
        <w:t xml:space="preserve">”, sem o respetivo investimento, e é essencial para a determinação do apoio comunitário. </w:t>
      </w:r>
    </w:p>
    <w:p w14:paraId="5EB6EC57" w14:textId="77777777" w:rsidR="005F333A" w:rsidRPr="005F333A" w:rsidRDefault="005F333A" w:rsidP="005F333A">
      <w:pPr>
        <w:spacing w:before="120" w:line="360" w:lineRule="auto"/>
        <w:jc w:val="both"/>
      </w:pPr>
      <w:r w:rsidRPr="005F333A">
        <w:t xml:space="preserve">A </w:t>
      </w:r>
      <w:r w:rsidRPr="005F333A">
        <w:rPr>
          <w:b/>
          <w:bCs/>
        </w:rPr>
        <w:t>análise incremental</w:t>
      </w:r>
      <w:r w:rsidRPr="005F333A">
        <w:t xml:space="preserve"> pressupõe a aplicação dos seguintes conceitos:</w:t>
      </w:r>
    </w:p>
    <w:p w14:paraId="2A959ED9" w14:textId="77777777" w:rsidR="005F333A" w:rsidRPr="005F333A" w:rsidRDefault="005F333A" w:rsidP="005F333A">
      <w:pPr>
        <w:numPr>
          <w:ilvl w:val="0"/>
          <w:numId w:val="5"/>
        </w:numPr>
        <w:spacing w:before="120" w:line="360" w:lineRule="auto"/>
        <w:jc w:val="both"/>
      </w:pPr>
      <w:r w:rsidRPr="005F333A">
        <w:t>Um “</w:t>
      </w:r>
      <w:r w:rsidRPr="005F333A">
        <w:rPr>
          <w:b/>
          <w:bCs/>
          <w:i/>
          <w:iCs/>
        </w:rPr>
        <w:t xml:space="preserve">cenário </w:t>
      </w:r>
      <w:proofErr w:type="spellStart"/>
      <w:r w:rsidRPr="005F333A">
        <w:rPr>
          <w:b/>
          <w:bCs/>
          <w:i/>
          <w:iCs/>
        </w:rPr>
        <w:t>contrafactual</w:t>
      </w:r>
      <w:proofErr w:type="spellEnd"/>
      <w:r w:rsidRPr="005F333A">
        <w:rPr>
          <w:b/>
          <w:bCs/>
        </w:rPr>
        <w:t>”</w:t>
      </w:r>
      <w:r w:rsidRPr="005F333A">
        <w:t xml:space="preserve"> é formulado com base na hipótese do projeto proposto não se realizar. Tendo por base este enquadramento, são realizadas projeções anuais para todos os fluxos de caixa (</w:t>
      </w:r>
      <w:r w:rsidRPr="005F333A">
        <w:rPr>
          <w:i/>
          <w:iCs/>
        </w:rPr>
        <w:t xml:space="preserve">cash </w:t>
      </w:r>
      <w:proofErr w:type="spellStart"/>
      <w:r w:rsidRPr="005F333A">
        <w:rPr>
          <w:i/>
          <w:iCs/>
        </w:rPr>
        <w:t>flows</w:t>
      </w:r>
      <w:proofErr w:type="spellEnd"/>
      <w:r w:rsidRPr="005F333A">
        <w:t xml:space="preserve">) operacionais ao longo da vida útil do projeto. </w:t>
      </w:r>
    </w:p>
    <w:p w14:paraId="48FBAB1F" w14:textId="77777777" w:rsidR="005F333A" w:rsidRPr="005F333A" w:rsidRDefault="005F333A" w:rsidP="005F333A">
      <w:pPr>
        <w:spacing w:before="120" w:line="360" w:lineRule="auto"/>
        <w:jc w:val="both"/>
      </w:pPr>
      <w:r w:rsidRPr="005F333A">
        <w:lastRenderedPageBreak/>
        <w:t>Quando um projeto corresponde a um ativo completamente novo, não existem serviços nem infraestruturas pré-existentes, pelo que no “</w:t>
      </w:r>
      <w:r w:rsidRPr="005F333A">
        <w:rPr>
          <w:i/>
          <w:iCs/>
        </w:rPr>
        <w:t>cenário sem projeto</w:t>
      </w:r>
      <w:r w:rsidRPr="005F333A">
        <w:t xml:space="preserve">” não existem fluxos de caixa operacionais, nem investimentos alternativos. </w:t>
      </w:r>
    </w:p>
    <w:p w14:paraId="79E09841" w14:textId="77777777" w:rsidR="005F333A" w:rsidRPr="005F333A" w:rsidRDefault="005F333A" w:rsidP="005F333A">
      <w:pPr>
        <w:spacing w:before="120" w:line="360" w:lineRule="auto"/>
        <w:jc w:val="both"/>
      </w:pPr>
      <w:r w:rsidRPr="005F333A">
        <w:t>Para investimentos destinados à modernização ou à melhoria de uma infraestrutura existente, devem ser incluídos os custos e as receitas que permitem manter a operacionalização da mesma (“</w:t>
      </w:r>
      <w:r w:rsidRPr="005F333A">
        <w:rPr>
          <w:b/>
          <w:bCs/>
          <w:i/>
          <w:iCs/>
        </w:rPr>
        <w:t>Business As Usual</w:t>
      </w:r>
      <w:r w:rsidRPr="005F333A">
        <w:t>” (doravante BAU)), ou mesmo pequenos investimentos de adaptação programados (“</w:t>
      </w:r>
      <w:r w:rsidRPr="005F333A">
        <w:rPr>
          <w:b/>
          <w:bCs/>
          <w:i/>
          <w:iCs/>
        </w:rPr>
        <w:t>do-</w:t>
      </w:r>
      <w:proofErr w:type="spellStart"/>
      <w:r w:rsidRPr="005F333A">
        <w:rPr>
          <w:b/>
          <w:bCs/>
          <w:i/>
          <w:iCs/>
        </w:rPr>
        <w:t>minimum</w:t>
      </w:r>
      <w:proofErr w:type="spellEnd"/>
      <w:r w:rsidRPr="005F333A">
        <w:t xml:space="preserve">”). </w:t>
      </w:r>
    </w:p>
    <w:p w14:paraId="383DE735" w14:textId="77777777" w:rsidR="005F333A" w:rsidRPr="005F333A" w:rsidRDefault="005F333A" w:rsidP="005F333A">
      <w:pPr>
        <w:spacing w:before="120" w:line="360" w:lineRule="auto"/>
        <w:jc w:val="both"/>
      </w:pPr>
      <w:r w:rsidRPr="005F333A">
        <w:t>É recomendada a utilização de registos históricos dos fluxos de caixa, de pelo menos três anos, como base para as projeções futuras do “</w:t>
      </w:r>
      <w:r w:rsidRPr="005F333A">
        <w:rPr>
          <w:i/>
          <w:iCs/>
        </w:rPr>
        <w:t xml:space="preserve">cenário </w:t>
      </w:r>
      <w:proofErr w:type="spellStart"/>
      <w:r w:rsidRPr="005F333A">
        <w:rPr>
          <w:i/>
          <w:iCs/>
        </w:rPr>
        <w:t>contrafactual</w:t>
      </w:r>
      <w:proofErr w:type="spellEnd"/>
      <w:r w:rsidRPr="005F333A">
        <w:t xml:space="preserve">”. </w:t>
      </w:r>
    </w:p>
    <w:p w14:paraId="39DB9DD1" w14:textId="77777777" w:rsidR="005F333A" w:rsidRPr="005F333A" w:rsidRDefault="005F333A" w:rsidP="005F333A">
      <w:pPr>
        <w:spacing w:before="120" w:line="360" w:lineRule="auto"/>
        <w:jc w:val="both"/>
      </w:pPr>
      <w:r w:rsidRPr="005F333A">
        <w:t>A escolha entre o</w:t>
      </w:r>
      <w:r w:rsidRPr="005F333A">
        <w:rPr>
          <w:b/>
          <w:bCs/>
        </w:rPr>
        <w:t xml:space="preserve"> “</w:t>
      </w:r>
      <w:r w:rsidRPr="005F333A">
        <w:rPr>
          <w:b/>
          <w:bCs/>
          <w:i/>
          <w:iCs/>
        </w:rPr>
        <w:t>BAU</w:t>
      </w:r>
      <w:r w:rsidRPr="005F333A">
        <w:rPr>
          <w:b/>
          <w:bCs/>
        </w:rPr>
        <w:t>” ou “</w:t>
      </w:r>
      <w:r w:rsidRPr="005F333A">
        <w:rPr>
          <w:b/>
          <w:bCs/>
          <w:i/>
          <w:iCs/>
        </w:rPr>
        <w:t>do-</w:t>
      </w:r>
      <w:proofErr w:type="spellStart"/>
      <w:r w:rsidRPr="005F333A">
        <w:rPr>
          <w:b/>
          <w:bCs/>
          <w:i/>
          <w:iCs/>
        </w:rPr>
        <w:t>minimum</w:t>
      </w:r>
      <w:proofErr w:type="spellEnd"/>
      <w:r w:rsidRPr="005F333A">
        <w:rPr>
          <w:b/>
          <w:bCs/>
        </w:rPr>
        <w:t>”</w:t>
      </w:r>
      <w:r w:rsidRPr="005F333A">
        <w:t xml:space="preserve"> como “</w:t>
      </w:r>
      <w:r w:rsidRPr="005F333A">
        <w:rPr>
          <w:i/>
          <w:iCs/>
        </w:rPr>
        <w:t xml:space="preserve">cenário </w:t>
      </w:r>
      <w:proofErr w:type="spellStart"/>
      <w:r w:rsidRPr="005F333A">
        <w:rPr>
          <w:i/>
          <w:iCs/>
        </w:rPr>
        <w:t>contrafactual</w:t>
      </w:r>
      <w:proofErr w:type="spellEnd"/>
      <w:r w:rsidRPr="005F333A">
        <w:t>” deve ser realizada “</w:t>
      </w:r>
      <w:r w:rsidRPr="005F333A">
        <w:rPr>
          <w:i/>
          <w:iCs/>
        </w:rPr>
        <w:t>caso a caso</w:t>
      </w:r>
      <w:r w:rsidRPr="005F333A">
        <w:t>”, com base nas evidências sobre a situação mais viável e provável. Existindo incerteza, o “</w:t>
      </w:r>
      <w:r w:rsidRPr="005F333A">
        <w:rPr>
          <w:i/>
          <w:iCs/>
        </w:rPr>
        <w:t>cenário BAU</w:t>
      </w:r>
      <w:r w:rsidRPr="005F333A">
        <w:t>” deve ser adotado como a regra geral. Se for adotado o “</w:t>
      </w:r>
      <w:r w:rsidRPr="005F333A">
        <w:rPr>
          <w:i/>
          <w:iCs/>
        </w:rPr>
        <w:t>do-</w:t>
      </w:r>
      <w:proofErr w:type="spellStart"/>
      <w:r w:rsidRPr="005F333A">
        <w:rPr>
          <w:i/>
          <w:iCs/>
        </w:rPr>
        <w:t>minimum</w:t>
      </w:r>
      <w:proofErr w:type="spellEnd"/>
      <w:r w:rsidRPr="005F333A">
        <w:t>” como “</w:t>
      </w:r>
      <w:r w:rsidRPr="005F333A">
        <w:rPr>
          <w:i/>
          <w:iCs/>
        </w:rPr>
        <w:t xml:space="preserve">cenário </w:t>
      </w:r>
      <w:proofErr w:type="spellStart"/>
      <w:r w:rsidRPr="005F333A">
        <w:rPr>
          <w:i/>
          <w:iCs/>
        </w:rPr>
        <w:t>contrafactual</w:t>
      </w:r>
      <w:proofErr w:type="spellEnd"/>
      <w:r w:rsidRPr="005F333A">
        <w:t>”, este deve ser viável e credível, e não evidenciar fluxos indevidos. A escolha do cenário pode ter implicações importantes nos resultados da análise, conforme evidenciado na Tabela 1.</w:t>
      </w:r>
    </w:p>
    <w:p w14:paraId="3942324B" w14:textId="77777777" w:rsidR="005F333A" w:rsidRPr="005F333A" w:rsidRDefault="005F333A" w:rsidP="005F333A">
      <w:pPr>
        <w:numPr>
          <w:ilvl w:val="0"/>
          <w:numId w:val="5"/>
        </w:numPr>
        <w:spacing w:before="120" w:line="360" w:lineRule="auto"/>
        <w:jc w:val="both"/>
      </w:pPr>
      <w:r w:rsidRPr="005F333A">
        <w:t xml:space="preserve">São realizadas </w:t>
      </w:r>
      <w:r w:rsidRPr="005F333A">
        <w:rPr>
          <w:b/>
          <w:bCs/>
        </w:rPr>
        <w:t>projeções dos fluxos de caixa</w:t>
      </w:r>
      <w:r w:rsidRPr="005F333A">
        <w:t xml:space="preserve"> para o “</w:t>
      </w:r>
      <w:r w:rsidRPr="005F333A">
        <w:rPr>
          <w:i/>
          <w:iCs/>
        </w:rPr>
        <w:t>cenário com o investimento proposto</w:t>
      </w:r>
      <w:r w:rsidRPr="005F333A">
        <w:t>”, sendo tidos em consideração todos os custos de investimento, custos de substituição, custos e receitas operacionais. Para os investimentos destinados à melhoria de uma infraestrutura pré-existente, é recomendada a realização de uma análise de custos e receitas históricas, de pelo menos três anos, como base para as projeções financeiras do “</w:t>
      </w:r>
      <w:r w:rsidRPr="005F333A">
        <w:rPr>
          <w:i/>
          <w:iCs/>
        </w:rPr>
        <w:t>cenário com projeto</w:t>
      </w:r>
      <w:r w:rsidRPr="005F333A">
        <w:t>” e como referência para o “</w:t>
      </w:r>
      <w:r w:rsidRPr="005F333A">
        <w:rPr>
          <w:i/>
          <w:iCs/>
        </w:rPr>
        <w:t>cenário sem projeto</w:t>
      </w:r>
      <w:r w:rsidRPr="005F333A">
        <w:t>”.</w:t>
      </w:r>
    </w:p>
    <w:p w14:paraId="3B903925" w14:textId="77777777" w:rsidR="005F333A" w:rsidRPr="005F333A" w:rsidRDefault="005F333A" w:rsidP="005F333A">
      <w:pPr>
        <w:numPr>
          <w:ilvl w:val="0"/>
          <w:numId w:val="5"/>
        </w:numPr>
        <w:spacing w:before="120" w:line="360" w:lineRule="auto"/>
        <w:jc w:val="both"/>
      </w:pPr>
      <w:r w:rsidRPr="005F333A">
        <w:t>O EVF deve considerar apenas a diferença entre os fluxos de caixa do “</w:t>
      </w:r>
      <w:r w:rsidRPr="005F333A">
        <w:rPr>
          <w:i/>
          <w:iCs/>
        </w:rPr>
        <w:t>cenário com o investimento proposto</w:t>
      </w:r>
      <w:r w:rsidRPr="005F333A">
        <w:t>” e o “</w:t>
      </w:r>
      <w:r w:rsidRPr="005F333A">
        <w:rPr>
          <w:i/>
          <w:iCs/>
        </w:rPr>
        <w:t xml:space="preserve">cenário </w:t>
      </w:r>
      <w:proofErr w:type="spellStart"/>
      <w:r w:rsidRPr="005F333A">
        <w:rPr>
          <w:i/>
          <w:iCs/>
        </w:rPr>
        <w:t>contrafactual</w:t>
      </w:r>
      <w:proofErr w:type="spellEnd"/>
      <w:r w:rsidRPr="005F333A">
        <w:t>”.</w:t>
      </w:r>
    </w:p>
    <w:p w14:paraId="6E670CBC" w14:textId="77777777" w:rsidR="005F333A" w:rsidRPr="005F333A" w:rsidRDefault="005F333A" w:rsidP="005F333A">
      <w:pPr>
        <w:spacing w:before="120" w:line="360" w:lineRule="auto"/>
        <w:jc w:val="both"/>
        <w:rPr>
          <w:u w:val="single"/>
        </w:rPr>
      </w:pPr>
      <w:r w:rsidRPr="005F333A">
        <w:rPr>
          <w:u w:val="single"/>
        </w:rPr>
        <w:t>Exemplo:</w:t>
      </w:r>
    </w:p>
    <w:p w14:paraId="02607B8A" w14:textId="77777777" w:rsidR="005F333A" w:rsidRPr="005F333A" w:rsidRDefault="005F333A" w:rsidP="005F333A">
      <w:pPr>
        <w:spacing w:before="120" w:line="360" w:lineRule="auto"/>
        <w:jc w:val="both"/>
      </w:pPr>
      <w:r w:rsidRPr="005F333A">
        <w:t>O exemplo seguinte ilustra a relação entre o “</w:t>
      </w:r>
      <w:r w:rsidRPr="005F333A">
        <w:rPr>
          <w:i/>
          <w:iCs/>
        </w:rPr>
        <w:t xml:space="preserve">cenário </w:t>
      </w:r>
      <w:proofErr w:type="spellStart"/>
      <w:r w:rsidRPr="005F333A">
        <w:rPr>
          <w:i/>
          <w:iCs/>
        </w:rPr>
        <w:t>contrafactual</w:t>
      </w:r>
      <w:proofErr w:type="spellEnd"/>
      <w:r w:rsidRPr="005F333A">
        <w:t>” selecionado e os indicadores de rentabilidade do projeto proposto.</w:t>
      </w:r>
    </w:p>
    <w:p w14:paraId="4A701EB2" w14:textId="77777777" w:rsidR="005F333A" w:rsidRPr="005F333A" w:rsidRDefault="005F333A" w:rsidP="005F333A">
      <w:pPr>
        <w:spacing w:before="120" w:line="360" w:lineRule="auto"/>
        <w:jc w:val="both"/>
      </w:pPr>
      <w:r w:rsidRPr="005F333A">
        <w:t>O projeto proposto consiste na reabilitação e ampliação da capacidade de uma infraestrutura existente, com um investimento de 45 milhões de euros e uma taxa anual de crescimentos das receitas líquidas de 5%. O “</w:t>
      </w:r>
      <w:r w:rsidRPr="005F333A">
        <w:rPr>
          <w:i/>
          <w:iCs/>
        </w:rPr>
        <w:t>cenário do-</w:t>
      </w:r>
      <w:proofErr w:type="spellStart"/>
      <w:r w:rsidRPr="005F333A">
        <w:rPr>
          <w:i/>
          <w:iCs/>
        </w:rPr>
        <w:t>minimum</w:t>
      </w:r>
      <w:proofErr w:type="spellEnd"/>
      <w:r w:rsidRPr="005F333A">
        <w:t>” prevê apenas a reabilitação da capacidade existente, com um investimento de 3 milhões de euros e receitas líquidas constantes. O “c</w:t>
      </w:r>
      <w:r w:rsidRPr="005F333A">
        <w:rPr>
          <w:i/>
          <w:iCs/>
        </w:rPr>
        <w:t>enário BAU</w:t>
      </w:r>
      <w:r w:rsidRPr="005F333A">
        <w:t>” não requer qualquer investimento, o que, por sua vez, afetará a quantidade de produção e a redução das receitas líquidas em 5% ao ano.</w:t>
      </w:r>
    </w:p>
    <w:p w14:paraId="4A566A08" w14:textId="77777777" w:rsidR="005F333A" w:rsidRPr="005F333A" w:rsidRDefault="005F333A" w:rsidP="005F333A">
      <w:pPr>
        <w:spacing w:before="120" w:line="360" w:lineRule="auto"/>
        <w:jc w:val="both"/>
      </w:pPr>
      <w:r w:rsidRPr="005F333A">
        <w:lastRenderedPageBreak/>
        <w:t>Conforme evidenciado na Tabela 1, os resultados da análise mudam significativamente em função do “</w:t>
      </w:r>
      <w:r w:rsidRPr="005F333A">
        <w:rPr>
          <w:i/>
          <w:iCs/>
        </w:rPr>
        <w:t xml:space="preserve">cenário </w:t>
      </w:r>
      <w:proofErr w:type="spellStart"/>
      <w:r w:rsidRPr="005F333A">
        <w:rPr>
          <w:i/>
          <w:iCs/>
        </w:rPr>
        <w:t>contrafactual</w:t>
      </w:r>
      <w:proofErr w:type="spellEnd"/>
      <w:r w:rsidRPr="005F333A">
        <w:t>” adotado. Comparando o projeto proposto com o “</w:t>
      </w:r>
      <w:r w:rsidRPr="005F333A">
        <w:rPr>
          <w:i/>
          <w:iCs/>
        </w:rPr>
        <w:t>cenário do-</w:t>
      </w:r>
      <w:proofErr w:type="spellStart"/>
      <w:r w:rsidRPr="005F333A">
        <w:rPr>
          <w:i/>
          <w:iCs/>
        </w:rPr>
        <w:t>minimum</w:t>
      </w:r>
      <w:proofErr w:type="spellEnd"/>
      <w:r w:rsidRPr="005F333A">
        <w:t>”, a TRF (Taxa Rentabilidade Financeira) equivale a 3%. Se o “</w:t>
      </w:r>
      <w:r w:rsidRPr="005F333A">
        <w:rPr>
          <w:i/>
          <w:iCs/>
        </w:rPr>
        <w:t xml:space="preserve">cenário </w:t>
      </w:r>
      <w:proofErr w:type="spellStart"/>
      <w:r w:rsidRPr="005F333A">
        <w:rPr>
          <w:i/>
          <w:iCs/>
        </w:rPr>
        <w:t>contrafactual</w:t>
      </w:r>
      <w:proofErr w:type="spellEnd"/>
      <w:r w:rsidRPr="005F333A">
        <w:t>” selecionado corresponder ao “</w:t>
      </w:r>
      <w:r w:rsidRPr="005F333A">
        <w:rPr>
          <w:i/>
          <w:iCs/>
        </w:rPr>
        <w:t>BAU</w:t>
      </w:r>
      <w:r w:rsidRPr="005F333A">
        <w:t>”, a TRF aumenta para 6%. Face ao exposto, o “</w:t>
      </w:r>
      <w:r w:rsidRPr="005F333A">
        <w:rPr>
          <w:i/>
          <w:iCs/>
        </w:rPr>
        <w:t xml:space="preserve">cenário </w:t>
      </w:r>
      <w:proofErr w:type="spellStart"/>
      <w:r w:rsidRPr="005F333A">
        <w:rPr>
          <w:i/>
          <w:iCs/>
        </w:rPr>
        <w:t>contrafatual</w:t>
      </w:r>
      <w:proofErr w:type="spellEnd"/>
      <w:r w:rsidRPr="005F333A">
        <w:t>” selecionado deve ser sempre devidamente justificado pelo promotor do projeto com base em evidências claras sobre a situação mais viável que ocorreria na ausência do projeto.</w:t>
      </w:r>
    </w:p>
    <w:p w14:paraId="702E9DCE" w14:textId="77777777" w:rsidR="005F333A" w:rsidRPr="005F333A" w:rsidRDefault="005F333A" w:rsidP="005F333A">
      <w:pPr>
        <w:spacing w:before="120" w:line="360" w:lineRule="auto"/>
        <w:jc w:val="both"/>
        <w:rPr>
          <w:i/>
          <w:iCs/>
        </w:rPr>
      </w:pPr>
      <w:bookmarkStart w:id="5" w:name="_Toc135994779"/>
      <w:r w:rsidRPr="005F333A">
        <w:rPr>
          <w:i/>
          <w:iCs/>
        </w:rPr>
        <w:t xml:space="preserve">Tabela </w:t>
      </w:r>
      <w:r w:rsidRPr="005F333A">
        <w:rPr>
          <w:i/>
          <w:iCs/>
        </w:rPr>
        <w:fldChar w:fldCharType="begin"/>
      </w:r>
      <w:r w:rsidRPr="005F333A">
        <w:rPr>
          <w:i/>
          <w:iCs/>
        </w:rPr>
        <w:instrText xml:space="preserve"> SEQ Tabela \* ARABIC </w:instrText>
      </w:r>
      <w:r w:rsidRPr="005F333A">
        <w:rPr>
          <w:i/>
          <w:iCs/>
        </w:rPr>
        <w:fldChar w:fldCharType="separate"/>
      </w:r>
      <w:r w:rsidRPr="005F333A">
        <w:rPr>
          <w:i/>
          <w:iCs/>
        </w:rPr>
        <w:t>1</w:t>
      </w:r>
      <w:r w:rsidRPr="005F333A">
        <w:fldChar w:fldCharType="end"/>
      </w:r>
      <w:r w:rsidRPr="005F333A">
        <w:rPr>
          <w:i/>
          <w:iCs/>
        </w:rPr>
        <w:t xml:space="preserve"> - Análise Incremental</w:t>
      </w:r>
      <w:bookmarkEnd w:id="5"/>
    </w:p>
    <w:p w14:paraId="4768CD10" w14:textId="77777777" w:rsidR="005F333A" w:rsidRPr="005F333A" w:rsidRDefault="005F333A" w:rsidP="005F333A">
      <w:pPr>
        <w:spacing w:before="120" w:line="360" w:lineRule="auto"/>
        <w:jc w:val="both"/>
        <w:rPr>
          <w:b/>
          <w:bCs/>
        </w:rPr>
      </w:pPr>
      <w:r w:rsidRPr="005F333A">
        <w:rPr>
          <w:noProof/>
        </w:rPr>
        <w:drawing>
          <wp:inline distT="0" distB="0" distL="0" distR="0" wp14:anchorId="7B918A8F" wp14:editId="197D7BA0">
            <wp:extent cx="5669915" cy="1541780"/>
            <wp:effectExtent l="0" t="0" r="6985" b="1270"/>
            <wp:docPr id="102152222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69915" cy="1541780"/>
                    </a:xfrm>
                    <a:prstGeom prst="rect">
                      <a:avLst/>
                    </a:prstGeom>
                    <a:noFill/>
                    <a:ln>
                      <a:noFill/>
                    </a:ln>
                  </pic:spPr>
                </pic:pic>
              </a:graphicData>
            </a:graphic>
          </wp:inline>
        </w:drawing>
      </w:r>
    </w:p>
    <w:p w14:paraId="1A8FC7F1" w14:textId="77777777" w:rsidR="005F333A" w:rsidRPr="005F333A" w:rsidRDefault="005F333A" w:rsidP="005F333A">
      <w:pPr>
        <w:spacing w:before="120" w:line="360" w:lineRule="auto"/>
        <w:jc w:val="both"/>
        <w:rPr>
          <w:b/>
          <w:bCs/>
        </w:rPr>
      </w:pPr>
    </w:p>
    <w:p w14:paraId="18F615F6" w14:textId="77777777" w:rsidR="005F333A" w:rsidRPr="005F333A" w:rsidRDefault="005F333A" w:rsidP="005F333A">
      <w:pPr>
        <w:spacing w:before="120" w:line="360" w:lineRule="auto"/>
        <w:jc w:val="both"/>
        <w:rPr>
          <w:b/>
          <w:bCs/>
        </w:rPr>
      </w:pPr>
      <w:r w:rsidRPr="005F333A">
        <w:rPr>
          <w:b/>
          <w:bCs/>
        </w:rPr>
        <w:t>Limiares de aplicação</w:t>
      </w:r>
    </w:p>
    <w:p w14:paraId="33B534B1" w14:textId="77777777" w:rsidR="005F333A" w:rsidRPr="005F333A" w:rsidRDefault="005F333A" w:rsidP="005F333A">
      <w:pPr>
        <w:spacing w:before="120" w:line="360" w:lineRule="auto"/>
        <w:jc w:val="both"/>
      </w:pPr>
      <w:r w:rsidRPr="005F333A">
        <w:t xml:space="preserve">A –Caso se verifique que o projeto a candidatar seja potencialmente gerador de receitas líquidas e apresente um </w:t>
      </w:r>
      <w:r w:rsidRPr="005F333A">
        <w:rPr>
          <w:u w:val="single"/>
        </w:rPr>
        <w:t>custo elegível superior a 1 milhão de euros e inferior a 50 milhões de euros</w:t>
      </w:r>
      <w:r w:rsidRPr="005F333A">
        <w:t>, o Beneficiário deverá proceder à elaboração de um EVF e acompanhar a submissão da candidatura com os seguintes documentos:</w:t>
      </w:r>
    </w:p>
    <w:p w14:paraId="49B3383A" w14:textId="77777777" w:rsidR="005F333A" w:rsidRPr="005F333A" w:rsidRDefault="005F333A" w:rsidP="005F333A">
      <w:pPr>
        <w:numPr>
          <w:ilvl w:val="0"/>
          <w:numId w:val="5"/>
        </w:numPr>
        <w:spacing w:before="120" w:line="360" w:lineRule="auto"/>
        <w:jc w:val="both"/>
      </w:pPr>
      <w:r w:rsidRPr="005F333A">
        <w:t>Estudo de Viabilidade Financeira;</w:t>
      </w:r>
    </w:p>
    <w:p w14:paraId="7B80DF4F" w14:textId="77777777" w:rsidR="005F333A" w:rsidRPr="005F333A" w:rsidRDefault="005F333A" w:rsidP="005F333A">
      <w:pPr>
        <w:numPr>
          <w:ilvl w:val="0"/>
          <w:numId w:val="5"/>
        </w:numPr>
        <w:spacing w:before="120" w:line="360" w:lineRule="auto"/>
        <w:jc w:val="both"/>
      </w:pPr>
      <w:r w:rsidRPr="005F333A">
        <w:t>“</w:t>
      </w:r>
      <w:r w:rsidRPr="005F333A">
        <w:rPr>
          <w:i/>
          <w:iCs/>
        </w:rPr>
        <w:t>Modelo de Preenchimento EVF</w:t>
      </w:r>
      <w:r w:rsidRPr="005F333A">
        <w:t>”, devidamente preenchido (em formato Excel);</w:t>
      </w:r>
    </w:p>
    <w:p w14:paraId="1A03DC87" w14:textId="77777777" w:rsidR="005F333A" w:rsidRPr="005F333A" w:rsidRDefault="005F333A" w:rsidP="005F333A">
      <w:pPr>
        <w:numPr>
          <w:ilvl w:val="0"/>
          <w:numId w:val="5"/>
        </w:numPr>
        <w:spacing w:before="120" w:line="360" w:lineRule="auto"/>
        <w:jc w:val="both"/>
      </w:pPr>
      <w:r w:rsidRPr="005F333A">
        <w:t>Todos os documentos que sustentem os pressupostos assumidos, devendo ser identificadas as respetivas fontes de informação.</w:t>
      </w:r>
    </w:p>
    <w:p w14:paraId="212FE037" w14:textId="77777777" w:rsidR="005F333A" w:rsidRPr="005F333A" w:rsidRDefault="005F333A" w:rsidP="005F333A">
      <w:pPr>
        <w:spacing w:before="120" w:line="360" w:lineRule="auto"/>
        <w:jc w:val="both"/>
      </w:pPr>
      <w:r w:rsidRPr="005F333A">
        <w:t xml:space="preserve">B - Para as operações com um </w:t>
      </w:r>
      <w:r w:rsidRPr="005F333A">
        <w:rPr>
          <w:u w:val="single"/>
        </w:rPr>
        <w:t>custo elegível superior a 50 milhões de euros</w:t>
      </w:r>
      <w:r w:rsidRPr="005F333A">
        <w:t xml:space="preserve"> deverá ser efetuada uma Análise Custo-Benefício, conforme as orientações expressas no “</w:t>
      </w:r>
      <w:hyperlink r:id="rId12" w:history="1">
        <w:r w:rsidRPr="005F333A">
          <w:rPr>
            <w:rStyle w:val="Hiperligao"/>
            <w:i/>
            <w:iCs/>
          </w:rPr>
          <w:t xml:space="preserve">Guide to </w:t>
        </w:r>
        <w:proofErr w:type="spellStart"/>
        <w:r w:rsidRPr="005F333A">
          <w:rPr>
            <w:rStyle w:val="Hiperligao"/>
            <w:i/>
            <w:iCs/>
          </w:rPr>
          <w:t>Cost-Benefit</w:t>
        </w:r>
        <w:proofErr w:type="spellEnd"/>
        <w:r w:rsidRPr="005F333A">
          <w:rPr>
            <w:rStyle w:val="Hiperligao"/>
            <w:i/>
            <w:iCs/>
          </w:rPr>
          <w:t xml:space="preserve"> </w:t>
        </w:r>
        <w:proofErr w:type="spellStart"/>
        <w:r w:rsidRPr="005F333A">
          <w:rPr>
            <w:rStyle w:val="Hiperligao"/>
            <w:i/>
            <w:iCs/>
          </w:rPr>
          <w:t>Analysis</w:t>
        </w:r>
        <w:proofErr w:type="spellEnd"/>
        <w:r w:rsidRPr="005F333A">
          <w:rPr>
            <w:rStyle w:val="Hiperligao"/>
            <w:i/>
            <w:iCs/>
          </w:rPr>
          <w:t xml:space="preserve"> </w:t>
        </w:r>
        <w:proofErr w:type="spellStart"/>
        <w:r w:rsidRPr="005F333A">
          <w:rPr>
            <w:rStyle w:val="Hiperligao"/>
            <w:i/>
            <w:iCs/>
          </w:rPr>
          <w:t>of</w:t>
        </w:r>
        <w:proofErr w:type="spellEnd"/>
        <w:r w:rsidRPr="005F333A">
          <w:rPr>
            <w:rStyle w:val="Hiperligao"/>
            <w:i/>
            <w:iCs/>
          </w:rPr>
          <w:t xml:space="preserve"> </w:t>
        </w:r>
        <w:proofErr w:type="spellStart"/>
        <w:r w:rsidRPr="005F333A">
          <w:rPr>
            <w:rStyle w:val="Hiperligao"/>
            <w:i/>
            <w:iCs/>
          </w:rPr>
          <w:t>Investment</w:t>
        </w:r>
        <w:proofErr w:type="spellEnd"/>
        <w:r w:rsidRPr="005F333A">
          <w:rPr>
            <w:rStyle w:val="Hiperligao"/>
            <w:i/>
            <w:iCs/>
          </w:rPr>
          <w:t xml:space="preserve"> </w:t>
        </w:r>
        <w:proofErr w:type="spellStart"/>
        <w:r w:rsidRPr="005F333A">
          <w:rPr>
            <w:rStyle w:val="Hiperligao"/>
            <w:i/>
            <w:iCs/>
          </w:rPr>
          <w:t>Projects</w:t>
        </w:r>
        <w:proofErr w:type="spellEnd"/>
        <w:r w:rsidRPr="005F333A">
          <w:rPr>
            <w:rStyle w:val="Hiperligao"/>
            <w:i/>
            <w:iCs/>
          </w:rPr>
          <w:t xml:space="preserve"> (2014-2020)” e “</w:t>
        </w:r>
        <w:proofErr w:type="spellStart"/>
        <w:r w:rsidRPr="005F333A">
          <w:rPr>
            <w:rStyle w:val="Hiperligao"/>
            <w:i/>
            <w:iCs/>
          </w:rPr>
          <w:t>Economic</w:t>
        </w:r>
        <w:proofErr w:type="spellEnd"/>
        <w:r w:rsidRPr="005F333A">
          <w:rPr>
            <w:rStyle w:val="Hiperligao"/>
            <w:i/>
            <w:iCs/>
          </w:rPr>
          <w:t xml:space="preserve"> </w:t>
        </w:r>
        <w:proofErr w:type="spellStart"/>
        <w:r w:rsidRPr="005F333A">
          <w:rPr>
            <w:rStyle w:val="Hiperligao"/>
            <w:i/>
            <w:iCs/>
          </w:rPr>
          <w:t>Appraisal</w:t>
        </w:r>
        <w:proofErr w:type="spellEnd"/>
        <w:r w:rsidRPr="005F333A">
          <w:rPr>
            <w:rStyle w:val="Hiperligao"/>
            <w:i/>
            <w:iCs/>
          </w:rPr>
          <w:t> </w:t>
        </w:r>
        <w:proofErr w:type="spellStart"/>
        <w:r w:rsidRPr="005F333A">
          <w:rPr>
            <w:rStyle w:val="Hiperligao"/>
          </w:rPr>
          <w:t>Vademecum</w:t>
        </w:r>
        <w:proofErr w:type="spellEnd"/>
        <w:r w:rsidRPr="005F333A">
          <w:rPr>
            <w:rStyle w:val="Hiperligao"/>
          </w:rPr>
          <w:t xml:space="preserve"> </w:t>
        </w:r>
        <w:r w:rsidRPr="005F333A">
          <w:rPr>
            <w:rStyle w:val="Hiperligao"/>
            <w:i/>
            <w:iCs/>
          </w:rPr>
          <w:t>(2021-2027)”</w:t>
        </w:r>
        <w:r w:rsidRPr="005F333A">
          <w:rPr>
            <w:rStyle w:val="Hiperligao"/>
          </w:rPr>
          <w:t>.</w:t>
        </w:r>
      </w:hyperlink>
      <w:r w:rsidRPr="005F333A">
        <w:t xml:space="preserve"> </w:t>
      </w:r>
    </w:p>
    <w:p w14:paraId="44B96829" w14:textId="77777777" w:rsidR="005F333A" w:rsidRPr="005F333A" w:rsidRDefault="005F333A" w:rsidP="005F333A">
      <w:pPr>
        <w:spacing w:before="120" w:line="360" w:lineRule="auto"/>
        <w:jc w:val="both"/>
      </w:pPr>
      <w:r w:rsidRPr="005F333A">
        <w:t xml:space="preserve">C - No caso de operações com </w:t>
      </w:r>
      <w:r w:rsidRPr="005F333A">
        <w:rPr>
          <w:u w:val="single"/>
        </w:rPr>
        <w:t>custo elegível inferior a 1 milhão de euros</w:t>
      </w:r>
      <w:r w:rsidRPr="005F333A">
        <w:t>, deverá ser demonstrada a sustentabilidade da operação, mediante a apresentação de uma declaração de carácter qualitativo, que descreva a forma como será assegurada a sustentabilidade do investimento (ver Anexo 1).</w:t>
      </w:r>
    </w:p>
    <w:p w14:paraId="17DDBFFE" w14:textId="77777777" w:rsidR="005F333A" w:rsidRPr="005F333A" w:rsidRDefault="005F333A" w:rsidP="005F333A">
      <w:pPr>
        <w:spacing w:before="120" w:line="360" w:lineRule="auto"/>
        <w:jc w:val="both"/>
      </w:pPr>
    </w:p>
    <w:p w14:paraId="311B379C" w14:textId="77777777" w:rsidR="005F333A" w:rsidRPr="005F333A" w:rsidRDefault="005F333A" w:rsidP="005F333A">
      <w:pPr>
        <w:spacing w:before="120" w:line="360" w:lineRule="auto"/>
        <w:jc w:val="both"/>
      </w:pPr>
      <w:r w:rsidRPr="005F333A">
        <w:lastRenderedPageBreak/>
        <w:t>Seguidamente, é apresentada a informação a considerar na elaboração do EVF</w:t>
      </w:r>
      <w:bookmarkStart w:id="6" w:name="_Toc430334689"/>
      <w:bookmarkStart w:id="7" w:name="_Toc430341683"/>
      <w:bookmarkStart w:id="8" w:name="_Toc430334690"/>
      <w:bookmarkStart w:id="9" w:name="_Toc430341684"/>
      <w:bookmarkStart w:id="10" w:name="_Toc430334691"/>
      <w:bookmarkStart w:id="11" w:name="_Toc430341685"/>
      <w:bookmarkEnd w:id="4"/>
      <w:bookmarkEnd w:id="6"/>
      <w:bookmarkEnd w:id="7"/>
      <w:bookmarkEnd w:id="8"/>
      <w:bookmarkEnd w:id="9"/>
      <w:bookmarkEnd w:id="10"/>
      <w:bookmarkEnd w:id="11"/>
      <w:r w:rsidRPr="005F333A">
        <w:t>:</w:t>
      </w:r>
    </w:p>
    <w:p w14:paraId="7C312852" w14:textId="77777777" w:rsidR="005F333A" w:rsidRPr="005F333A" w:rsidRDefault="005F333A" w:rsidP="005F333A">
      <w:pPr>
        <w:numPr>
          <w:ilvl w:val="1"/>
          <w:numId w:val="1"/>
        </w:numPr>
        <w:spacing w:before="120" w:line="360" w:lineRule="auto"/>
        <w:jc w:val="both"/>
        <w:rPr>
          <w:b/>
          <w:bCs/>
        </w:rPr>
      </w:pPr>
      <w:bookmarkStart w:id="12" w:name="_Toc136629396"/>
      <w:r w:rsidRPr="005F333A">
        <w:rPr>
          <w:b/>
          <w:bCs/>
        </w:rPr>
        <w:t>Descrição do Contexto</w:t>
      </w:r>
      <w:bookmarkEnd w:id="12"/>
    </w:p>
    <w:p w14:paraId="04E4CB07" w14:textId="77777777" w:rsidR="005F333A" w:rsidRPr="005F333A" w:rsidRDefault="005F333A" w:rsidP="005F333A">
      <w:pPr>
        <w:spacing w:before="120" w:line="360" w:lineRule="auto"/>
        <w:jc w:val="both"/>
      </w:pPr>
      <w:r w:rsidRPr="005F333A">
        <w:t xml:space="preserve">Nesta secção, deve proceder-se à descrição do contexto social, económico, institucional e político no qual o projeto se vai desenvolver (por exemplo, avaliar as condições </w:t>
      </w:r>
      <w:proofErr w:type="spellStart"/>
      <w:r w:rsidRPr="005F333A">
        <w:t>socio-económicas</w:t>
      </w:r>
      <w:proofErr w:type="spellEnd"/>
      <w:r w:rsidRPr="005F333A">
        <w:t xml:space="preserve"> do país/região para o projeto ou aspetos políticos e institucionais, como a existência de políticas sectoriais ou planos já existentes). Podem ainda ser incluídas outras informações e estatísticas que sejam relevantes, por exemplo, questões ambientais associadas, etc.</w:t>
      </w:r>
    </w:p>
    <w:p w14:paraId="584D7B1F" w14:textId="77777777" w:rsidR="005F333A" w:rsidRPr="005F333A" w:rsidRDefault="005F333A" w:rsidP="005F333A">
      <w:pPr>
        <w:spacing w:before="120" w:line="360" w:lineRule="auto"/>
        <w:jc w:val="both"/>
      </w:pPr>
      <w:r w:rsidRPr="005F333A">
        <w:t xml:space="preserve"> A apresentação do contexto é fundamental para prever tendências futuras, especialmente para a análise da procura. Na verdade, a possibilidade de se obter estimativas confiáveis ​​sobre utilizadores, benefícios e custos, muitas vezes depende da precisão da avaliação das condições </w:t>
      </w:r>
      <w:proofErr w:type="spellStart"/>
      <w:r w:rsidRPr="005F333A">
        <w:t>macro</w:t>
      </w:r>
      <w:r w:rsidRPr="005F333A">
        <w:noBreakHyphen/>
        <w:t>económicas</w:t>
      </w:r>
      <w:proofErr w:type="spellEnd"/>
      <w:r w:rsidRPr="005F333A">
        <w:t xml:space="preserve"> e sociais da região. Nesse sentido, pretende-se verificar se os pressupostos assumidos, por exemplo, sobre o PIB ou o crescimento demográfico, são consistentes. Por outro lado, este exercício visa verificar se o projeto é adequado ao contexto em que será desenvolvido.</w:t>
      </w:r>
    </w:p>
    <w:tbl>
      <w:tblPr>
        <w:tblStyle w:val="TabelacomGrelha"/>
        <w:tblW w:w="0" w:type="auto"/>
        <w:tblLook w:val="04A0" w:firstRow="1" w:lastRow="0" w:firstColumn="1" w:lastColumn="0" w:noHBand="0" w:noVBand="1"/>
      </w:tblPr>
      <w:tblGrid>
        <w:gridCol w:w="8779"/>
      </w:tblGrid>
      <w:tr w:rsidR="005F333A" w:rsidRPr="005F333A" w14:paraId="68284597" w14:textId="77777777" w:rsidTr="001D647C">
        <w:tc>
          <w:tcPr>
            <w:tcW w:w="8779" w:type="dxa"/>
            <w:tcBorders>
              <w:top w:val="nil"/>
              <w:left w:val="nil"/>
              <w:bottom w:val="nil"/>
              <w:right w:val="nil"/>
            </w:tcBorders>
            <w:shd w:val="clear" w:color="auto" w:fill="F2F2F2" w:themeFill="background1" w:themeFillShade="F2"/>
          </w:tcPr>
          <w:p w14:paraId="2F793B37" w14:textId="77777777" w:rsidR="005F333A" w:rsidRPr="005F333A" w:rsidRDefault="005F333A" w:rsidP="005F333A">
            <w:pPr>
              <w:spacing w:before="120" w:after="160" w:line="360" w:lineRule="auto"/>
              <w:jc w:val="both"/>
            </w:pPr>
            <w:r w:rsidRPr="005F333A">
              <w:rPr>
                <w:b/>
                <w:bCs/>
              </w:rPr>
              <w:t>Boas Práticas</w:t>
            </w:r>
          </w:p>
          <w:p w14:paraId="58E1767C" w14:textId="77777777" w:rsidR="005F333A" w:rsidRPr="005F333A" w:rsidRDefault="005F333A" w:rsidP="005F333A">
            <w:pPr>
              <w:numPr>
                <w:ilvl w:val="0"/>
                <w:numId w:val="9"/>
              </w:numPr>
              <w:spacing w:before="120" w:after="160" w:line="360" w:lineRule="auto"/>
              <w:jc w:val="both"/>
            </w:pPr>
            <w:r w:rsidRPr="005F333A">
              <w:t>O contexto deve ser apresentado incluindo apenas os setores relevantes para o projeto, evitando discussões sobre setores não relacionados com o mesmo.</w:t>
            </w:r>
          </w:p>
          <w:p w14:paraId="5C8B5427" w14:textId="77777777" w:rsidR="005F333A" w:rsidRPr="005F333A" w:rsidRDefault="005F333A" w:rsidP="005F333A">
            <w:pPr>
              <w:numPr>
                <w:ilvl w:val="0"/>
                <w:numId w:val="9"/>
              </w:numPr>
              <w:spacing w:before="120" w:after="160" w:line="360" w:lineRule="auto"/>
              <w:jc w:val="both"/>
            </w:pPr>
            <w:r w:rsidRPr="005F333A">
              <w:t>As estatísticas e previsões socioeconómicas devem basear-se em dados e previsões oficiais disponibilizadas pelo Beneficiário.</w:t>
            </w:r>
          </w:p>
        </w:tc>
      </w:tr>
    </w:tbl>
    <w:p w14:paraId="6C02A17F" w14:textId="77777777" w:rsidR="005F333A" w:rsidRPr="005F333A" w:rsidRDefault="005F333A" w:rsidP="005F333A">
      <w:pPr>
        <w:spacing w:before="120" w:line="360" w:lineRule="auto"/>
        <w:jc w:val="both"/>
      </w:pPr>
    </w:p>
    <w:p w14:paraId="3BFA77B4" w14:textId="77777777" w:rsidR="005F333A" w:rsidRPr="005F333A" w:rsidRDefault="005F333A" w:rsidP="005F333A">
      <w:pPr>
        <w:numPr>
          <w:ilvl w:val="1"/>
          <w:numId w:val="1"/>
        </w:numPr>
        <w:spacing w:before="120" w:line="360" w:lineRule="auto"/>
        <w:jc w:val="both"/>
        <w:rPr>
          <w:b/>
          <w:bCs/>
        </w:rPr>
      </w:pPr>
      <w:bookmarkStart w:id="13" w:name="_Toc136629397"/>
      <w:r w:rsidRPr="005F333A">
        <w:rPr>
          <w:b/>
          <w:bCs/>
        </w:rPr>
        <w:t>Definição dos Objetivos</w:t>
      </w:r>
      <w:bookmarkEnd w:id="13"/>
    </w:p>
    <w:p w14:paraId="12CF03E5" w14:textId="77777777" w:rsidR="005F333A" w:rsidRPr="005F333A" w:rsidRDefault="005F333A" w:rsidP="005F333A">
      <w:pPr>
        <w:spacing w:before="120" w:line="360" w:lineRule="auto"/>
        <w:jc w:val="both"/>
      </w:pPr>
      <w:r w:rsidRPr="005F333A">
        <w:t>Nesta seção pretende-se que o Beneficiário apresente uma definição clara dos objetivos da operação, considerando os seguintes aspetos:</w:t>
      </w:r>
    </w:p>
    <w:p w14:paraId="2AD510F4" w14:textId="77777777" w:rsidR="005F333A" w:rsidRPr="005F333A" w:rsidRDefault="005F333A" w:rsidP="005F333A">
      <w:pPr>
        <w:numPr>
          <w:ilvl w:val="0"/>
          <w:numId w:val="5"/>
        </w:numPr>
        <w:spacing w:before="120" w:line="360" w:lineRule="auto"/>
        <w:jc w:val="both"/>
      </w:pPr>
      <w:r w:rsidRPr="005F333A">
        <w:t xml:space="preserve">Identificar os </w:t>
      </w:r>
      <w:r w:rsidRPr="005F333A">
        <w:rPr>
          <w:b/>
          <w:bCs/>
        </w:rPr>
        <w:t>efeitos do projeto</w:t>
      </w:r>
      <w:r w:rsidRPr="005F333A">
        <w:t>. Quanto mais clara for a definição dos objetivos, mais fácil a identificação do projeto e seus efeitos.</w:t>
      </w:r>
    </w:p>
    <w:p w14:paraId="4AF83349" w14:textId="77777777" w:rsidR="005F333A" w:rsidRPr="005F333A" w:rsidRDefault="005F333A" w:rsidP="005F333A">
      <w:pPr>
        <w:numPr>
          <w:ilvl w:val="0"/>
          <w:numId w:val="5"/>
        </w:numPr>
        <w:spacing w:before="120" w:line="360" w:lineRule="auto"/>
        <w:jc w:val="both"/>
      </w:pPr>
      <w:r w:rsidRPr="005F333A">
        <w:t xml:space="preserve">Verificar a </w:t>
      </w:r>
      <w:r w:rsidRPr="005F333A">
        <w:rPr>
          <w:b/>
          <w:bCs/>
        </w:rPr>
        <w:t>relevância do projeto</w:t>
      </w:r>
      <w:r w:rsidRPr="005F333A">
        <w:t>. Devem ser fornecidas evidências de que a lógica do projeto corresponde a uma prioridade para o território. Isto é conseguido verificando se o projeto contribui para atingir os objetivos políticos da UE e as políticas nacionais/regionais e planos de desenvolvimento de longo prazo no setor específico.</w:t>
      </w:r>
    </w:p>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919"/>
      </w:tblGrid>
      <w:tr w:rsidR="005F333A" w:rsidRPr="005F333A" w14:paraId="4D12C6B1" w14:textId="77777777" w:rsidTr="001D647C">
        <w:tc>
          <w:tcPr>
            <w:tcW w:w="8919" w:type="dxa"/>
            <w:shd w:val="clear" w:color="auto" w:fill="F2F2F2" w:themeFill="background1" w:themeFillShade="F2"/>
          </w:tcPr>
          <w:p w14:paraId="2ED45EC6" w14:textId="77777777" w:rsidR="005F333A" w:rsidRPr="005F333A" w:rsidRDefault="005F333A" w:rsidP="005F333A">
            <w:pPr>
              <w:spacing w:before="120" w:after="160" w:line="360" w:lineRule="auto"/>
              <w:jc w:val="both"/>
              <w:rPr>
                <w:b/>
                <w:bCs/>
              </w:rPr>
            </w:pPr>
            <w:r w:rsidRPr="005F333A">
              <w:rPr>
                <w:b/>
                <w:bCs/>
              </w:rPr>
              <w:lastRenderedPageBreak/>
              <w:t>Boas Práticas</w:t>
            </w:r>
          </w:p>
          <w:p w14:paraId="244490F2" w14:textId="77777777" w:rsidR="005F333A" w:rsidRPr="005F333A" w:rsidRDefault="005F333A" w:rsidP="005F333A">
            <w:pPr>
              <w:numPr>
                <w:ilvl w:val="0"/>
                <w:numId w:val="4"/>
              </w:numPr>
              <w:spacing w:before="120" w:after="160" w:line="360" w:lineRule="auto"/>
              <w:jc w:val="both"/>
            </w:pPr>
            <w:r w:rsidRPr="005F333A">
              <w:t>Os efeitos do projeto devem ser identificados considerando, apenas, os seus objetivos;</w:t>
            </w:r>
          </w:p>
          <w:p w14:paraId="75796489" w14:textId="77777777" w:rsidR="005F333A" w:rsidRPr="005F333A" w:rsidRDefault="005F333A" w:rsidP="005F333A">
            <w:pPr>
              <w:numPr>
                <w:ilvl w:val="0"/>
                <w:numId w:val="4"/>
              </w:numPr>
              <w:spacing w:before="120" w:after="160" w:line="360" w:lineRule="auto"/>
              <w:jc w:val="both"/>
              <w:rPr>
                <w:b/>
                <w:bCs/>
              </w:rPr>
            </w:pPr>
            <w:r w:rsidRPr="005F333A">
              <w:t>Na definição dos objetivos do projeto, atente-se que estes são diferentes dos resultados. Por exemplo, se o objetivo principal do projeto é melhorar a acessibilidade de uma área periférica, a construção de uma nova via ou a modernização da existente rede não são objetivos, mas os meios pelos quais o objetivo de melhorar a acessibilidade da área será realizado.</w:t>
            </w:r>
          </w:p>
        </w:tc>
      </w:tr>
    </w:tbl>
    <w:p w14:paraId="645D55EE" w14:textId="77777777" w:rsidR="005F333A" w:rsidRPr="005F333A" w:rsidRDefault="005F333A" w:rsidP="005F333A">
      <w:pPr>
        <w:spacing w:before="120" w:line="360" w:lineRule="auto"/>
        <w:jc w:val="both"/>
      </w:pPr>
    </w:p>
    <w:p w14:paraId="6BB67F4C" w14:textId="77777777" w:rsidR="005F333A" w:rsidRPr="005F333A" w:rsidRDefault="005F333A" w:rsidP="005F333A">
      <w:pPr>
        <w:numPr>
          <w:ilvl w:val="1"/>
          <w:numId w:val="1"/>
        </w:numPr>
        <w:spacing w:before="120" w:line="360" w:lineRule="auto"/>
        <w:jc w:val="both"/>
        <w:rPr>
          <w:b/>
          <w:bCs/>
        </w:rPr>
      </w:pPr>
      <w:bookmarkStart w:id="14" w:name="_Toc136629398"/>
      <w:r w:rsidRPr="005F333A">
        <w:rPr>
          <w:b/>
          <w:bCs/>
        </w:rPr>
        <w:t>Identificação do Projeto</w:t>
      </w:r>
      <w:bookmarkEnd w:id="14"/>
      <w:r w:rsidRPr="005F333A">
        <w:rPr>
          <w:b/>
          <w:bCs/>
        </w:rPr>
        <w:t xml:space="preserve"> </w:t>
      </w:r>
    </w:p>
    <w:p w14:paraId="533E7FC5" w14:textId="77777777" w:rsidR="005F333A" w:rsidRPr="005F333A" w:rsidRDefault="005F333A" w:rsidP="005F333A">
      <w:pPr>
        <w:spacing w:before="120" w:line="360" w:lineRule="auto"/>
        <w:jc w:val="both"/>
      </w:pPr>
      <w:r w:rsidRPr="005F333A">
        <w:t>Nesta secção pretende-se que o Beneficiário identifique clara e sinteticamente os seguintes aspetos:</w:t>
      </w:r>
    </w:p>
    <w:p w14:paraId="1FB87778" w14:textId="77777777" w:rsidR="005F333A" w:rsidRPr="005F333A" w:rsidRDefault="005F333A" w:rsidP="005F333A">
      <w:pPr>
        <w:numPr>
          <w:ilvl w:val="0"/>
          <w:numId w:val="5"/>
        </w:numPr>
        <w:spacing w:before="120" w:line="360" w:lineRule="auto"/>
        <w:jc w:val="both"/>
      </w:pPr>
      <w:r w:rsidRPr="005F333A">
        <w:t xml:space="preserve">O </w:t>
      </w:r>
      <w:r w:rsidRPr="005F333A">
        <w:rPr>
          <w:b/>
          <w:bCs/>
        </w:rPr>
        <w:t>objeto do financiamento e as ações</w:t>
      </w:r>
      <w:r w:rsidRPr="005F333A">
        <w:t xml:space="preserve"> </w:t>
      </w:r>
      <w:r w:rsidRPr="005F333A">
        <w:rPr>
          <w:b/>
          <w:bCs/>
        </w:rPr>
        <w:t>a implementar</w:t>
      </w:r>
      <w:r w:rsidRPr="005F333A">
        <w:t xml:space="preserve"> para a sua concretização, considerando que a definição de projeto deve prever uma unidade de análise autossuficiente. Deve ser descrito o tipo de infraestrutura que vai ser apoiada, o tipo de intervenção (construção nova, reabilitação, requalificação, etc.), serviço prestado (tráfego de mercadorias, gestão de resíduos sólidos urbanos, atividades culturais, etc.) e a localização.</w:t>
      </w:r>
    </w:p>
    <w:p w14:paraId="02CBF457" w14:textId="77777777" w:rsidR="005F333A" w:rsidRPr="005F333A" w:rsidRDefault="005F333A" w:rsidP="005F333A">
      <w:pPr>
        <w:numPr>
          <w:ilvl w:val="0"/>
          <w:numId w:val="5"/>
        </w:numPr>
        <w:spacing w:before="120" w:line="360" w:lineRule="auto"/>
        <w:jc w:val="both"/>
      </w:pPr>
      <w:r w:rsidRPr="005F333A">
        <w:t xml:space="preserve">O </w:t>
      </w:r>
      <w:r w:rsidRPr="005F333A">
        <w:rPr>
          <w:b/>
          <w:bCs/>
        </w:rPr>
        <w:t>órgão responsável pela implementação</w:t>
      </w:r>
      <w:r w:rsidRPr="005F333A">
        <w:t xml:space="preserve"> ('promotor do projeto' ou 'Beneficiário') deve ser identificado e descrito em termos de capacidade técnica, financeira e institucional para a concretização do projeto.</w:t>
      </w:r>
    </w:p>
    <w:p w14:paraId="6569547E" w14:textId="77777777" w:rsidR="005F333A" w:rsidRPr="005F333A" w:rsidRDefault="005F333A" w:rsidP="005F333A">
      <w:pPr>
        <w:spacing w:before="120" w:line="360" w:lineRule="auto"/>
        <w:jc w:val="both"/>
      </w:pPr>
      <w:r w:rsidRPr="005F333A">
        <w:rPr>
          <w:u w:val="single"/>
        </w:rPr>
        <w:t>Capacidade Técnica</w:t>
      </w:r>
      <w:r w:rsidRPr="005F333A">
        <w:t xml:space="preserve"> - refere-se aos recursos humanos relevantes e conhecimentos disponíveis na organização para gerir as fases de implementação e operacionalização do projeto; </w:t>
      </w:r>
    </w:p>
    <w:p w14:paraId="3BB3E0BC" w14:textId="77777777" w:rsidR="005F333A" w:rsidRPr="005F333A" w:rsidRDefault="005F333A" w:rsidP="005F333A">
      <w:pPr>
        <w:spacing w:before="120" w:line="360" w:lineRule="auto"/>
        <w:jc w:val="both"/>
      </w:pPr>
      <w:r w:rsidRPr="005F333A">
        <w:rPr>
          <w:u w:val="single"/>
        </w:rPr>
        <w:t>Capacidade Financeira</w:t>
      </w:r>
      <w:r w:rsidRPr="005F333A">
        <w:t xml:space="preserve"> – refere-se à demonstração da capacidade em garantir um financiamento adequado durante o período de referência do projeto. </w:t>
      </w:r>
    </w:p>
    <w:p w14:paraId="5B6FAA49" w14:textId="77777777" w:rsidR="005F333A" w:rsidRPr="005F333A" w:rsidRDefault="005F333A" w:rsidP="005F333A">
      <w:pPr>
        <w:spacing w:before="120" w:line="360" w:lineRule="auto"/>
        <w:jc w:val="both"/>
      </w:pPr>
      <w:r w:rsidRPr="005F333A">
        <w:rPr>
          <w:u w:val="single"/>
        </w:rPr>
        <w:t>Capacidade Institucional</w:t>
      </w:r>
      <w:r w:rsidRPr="005F333A">
        <w:t xml:space="preserve"> – refere-se à capacidade </w:t>
      </w:r>
      <w:proofErr w:type="gramStart"/>
      <w:r w:rsidRPr="005F333A">
        <w:t>das</w:t>
      </w:r>
      <w:proofErr w:type="gramEnd"/>
      <w:r w:rsidRPr="005F333A">
        <w:t xml:space="preserve"> Instituições encetarem os passos necessários para implementar e desenvolver o projeto, por exemplo, no que respeita a questões legais, contratuais e de licenciamento. Quando necessário, a assistência técnica externa especial poderá ser incluída no custo total do projeto.</w:t>
      </w:r>
    </w:p>
    <w:p w14:paraId="0B317F60" w14:textId="77777777" w:rsidR="005F333A" w:rsidRPr="005F333A" w:rsidRDefault="005F333A" w:rsidP="005F333A">
      <w:pPr>
        <w:spacing w:before="120" w:line="360" w:lineRule="auto"/>
        <w:jc w:val="both"/>
      </w:pPr>
      <w:r w:rsidRPr="005F333A">
        <w:t xml:space="preserve">Quando o proprietário da infraestrutura for distinto do operador, deve ser apresentada uma descrição da empresa operadora ou de quem irá gerir a infraestrutura (se já conhecida), o seu enquadramento legal, os critérios usados ​​para sua seleção e as condições contratuais, acordos previstos entre os </w:t>
      </w:r>
      <w:r w:rsidRPr="005F333A">
        <w:lastRenderedPageBreak/>
        <w:t>parceiros, incluindo os mecanismos de financiamento (por exemplo, cobrança de tarifas/taxas de serviço, presença de subsídios governamentais), devem ser fornecidos.</w:t>
      </w:r>
    </w:p>
    <w:p w14:paraId="04F0341C" w14:textId="77777777" w:rsidR="005F333A" w:rsidRPr="005F333A" w:rsidRDefault="005F333A" w:rsidP="005F333A">
      <w:pPr>
        <w:spacing w:before="120" w:line="360" w:lineRule="auto"/>
        <w:jc w:val="both"/>
      </w:pPr>
    </w:p>
    <w:p w14:paraId="0E0BCC6C" w14:textId="77777777" w:rsidR="005F333A" w:rsidRPr="005F333A" w:rsidRDefault="005F333A" w:rsidP="005F333A">
      <w:pPr>
        <w:numPr>
          <w:ilvl w:val="1"/>
          <w:numId w:val="1"/>
        </w:numPr>
        <w:spacing w:before="120" w:line="360" w:lineRule="auto"/>
        <w:jc w:val="both"/>
        <w:rPr>
          <w:b/>
          <w:bCs/>
        </w:rPr>
      </w:pPr>
      <w:bookmarkStart w:id="15" w:name="_Toc136629399"/>
      <w:r w:rsidRPr="005F333A">
        <w:rPr>
          <w:b/>
          <w:bCs/>
        </w:rPr>
        <w:t>Viabilidade Técnica do Projeto/Estudos Técnicos</w:t>
      </w:r>
      <w:bookmarkEnd w:id="15"/>
    </w:p>
    <w:p w14:paraId="75AE1230" w14:textId="77777777" w:rsidR="005F333A" w:rsidRPr="005F333A" w:rsidRDefault="005F333A" w:rsidP="005F333A">
      <w:pPr>
        <w:spacing w:before="120" w:line="360" w:lineRule="auto"/>
        <w:jc w:val="both"/>
      </w:pPr>
      <w:r w:rsidRPr="005F333A">
        <w:t>O EVF deve ser realizada ao longo da preparação do projeto, em paralelo com as considerações técnicas e ambientais, numa ótica contínua e multidisciplinar, sendo pré-requisitos essenciais, a conclusão de um estudo da procura e o apuramento das estimativas do investimento e dos custos operacionais, incluindo os custos para mitigação do impacte ambiental e para a adaptação do projeto às alterações climáticas (se aplicável), devidamente sustentadas com documentação técnica.</w:t>
      </w:r>
    </w:p>
    <w:p w14:paraId="31FCBC2A" w14:textId="77777777" w:rsidR="005F333A" w:rsidRPr="005F333A" w:rsidRDefault="005F333A" w:rsidP="005F333A">
      <w:pPr>
        <w:numPr>
          <w:ilvl w:val="2"/>
          <w:numId w:val="1"/>
        </w:numPr>
        <w:spacing w:before="120" w:line="360" w:lineRule="auto"/>
        <w:jc w:val="both"/>
        <w:rPr>
          <w:b/>
          <w:bCs/>
        </w:rPr>
      </w:pPr>
      <w:bookmarkStart w:id="16" w:name="_Toc136629400"/>
      <w:r w:rsidRPr="005F333A">
        <w:rPr>
          <w:b/>
          <w:bCs/>
        </w:rPr>
        <w:t>Estudo da Procura</w:t>
      </w:r>
      <w:bookmarkEnd w:id="16"/>
    </w:p>
    <w:p w14:paraId="47CB737F" w14:textId="77777777" w:rsidR="005F333A" w:rsidRPr="005F333A" w:rsidRDefault="005F333A" w:rsidP="005F333A">
      <w:pPr>
        <w:spacing w:before="120" w:line="360" w:lineRule="auto"/>
        <w:jc w:val="both"/>
      </w:pPr>
      <w:r w:rsidRPr="005F333A">
        <w:t>Para efeitos da demonstração da viabilidade do investimento, o Beneficiário deve apresentar um estudo da procura mediante a análise de:</w:t>
      </w:r>
    </w:p>
    <w:p w14:paraId="631A999D" w14:textId="77777777" w:rsidR="005F333A" w:rsidRPr="005F333A" w:rsidRDefault="005F333A" w:rsidP="005F333A">
      <w:pPr>
        <w:numPr>
          <w:ilvl w:val="0"/>
          <w:numId w:val="5"/>
        </w:numPr>
        <w:spacing w:before="120" w:line="360" w:lineRule="auto"/>
        <w:jc w:val="both"/>
      </w:pPr>
      <w:r w:rsidRPr="005F333A">
        <w:rPr>
          <w:b/>
          <w:bCs/>
        </w:rPr>
        <w:t>Procura atual:</w:t>
      </w:r>
      <w:r w:rsidRPr="005F333A">
        <w:t xml:space="preserve"> com base em dados estatísticos providenciados por fornecedores de serviços, Entidades Reguladoras, Ministérios, Institutos Nacionais e Regionais; etc.</w:t>
      </w:r>
    </w:p>
    <w:p w14:paraId="0E840B02" w14:textId="77777777" w:rsidR="005F333A" w:rsidRPr="005F333A" w:rsidRDefault="005F333A" w:rsidP="005F333A">
      <w:pPr>
        <w:numPr>
          <w:ilvl w:val="0"/>
          <w:numId w:val="5"/>
        </w:numPr>
        <w:spacing w:before="120" w:line="360" w:lineRule="auto"/>
        <w:jc w:val="both"/>
      </w:pPr>
      <w:r w:rsidRPr="005F333A">
        <w:rPr>
          <w:b/>
          <w:bCs/>
        </w:rPr>
        <w:t>Procura futura para o “</w:t>
      </w:r>
      <w:r w:rsidRPr="005F333A">
        <w:rPr>
          <w:b/>
          <w:bCs/>
          <w:i/>
          <w:iCs/>
        </w:rPr>
        <w:t>cenário com o investimento</w:t>
      </w:r>
      <w:r w:rsidRPr="005F333A">
        <w:rPr>
          <w:b/>
          <w:bCs/>
        </w:rPr>
        <w:t>” e para o “</w:t>
      </w:r>
      <w:r w:rsidRPr="005F333A">
        <w:rPr>
          <w:b/>
          <w:bCs/>
          <w:i/>
          <w:iCs/>
        </w:rPr>
        <w:t xml:space="preserve">cenário </w:t>
      </w:r>
      <w:proofErr w:type="spellStart"/>
      <w:r w:rsidRPr="005F333A">
        <w:rPr>
          <w:b/>
          <w:bCs/>
          <w:i/>
          <w:iCs/>
        </w:rPr>
        <w:t>contrafactual</w:t>
      </w:r>
      <w:proofErr w:type="spellEnd"/>
      <w:r w:rsidRPr="005F333A">
        <w:rPr>
          <w:b/>
          <w:bCs/>
        </w:rPr>
        <w:t>” escolhido</w:t>
      </w:r>
      <w:r w:rsidRPr="005F333A">
        <w:t>: com base em modelos confiáveis ​​de previsão da procura que levam em consideração previsões macroeconómicas e socioeconómicas, fontes alternativas de oferta, elasticidade da procura para preços e rendimentos relevantes, etc.</w:t>
      </w:r>
    </w:p>
    <w:p w14:paraId="7AA6FF93" w14:textId="77777777" w:rsidR="005F333A" w:rsidRPr="005F333A" w:rsidRDefault="005F333A" w:rsidP="005F333A">
      <w:pPr>
        <w:spacing w:before="120" w:line="360" w:lineRule="auto"/>
        <w:jc w:val="both"/>
      </w:pPr>
      <w:r w:rsidRPr="005F333A">
        <w:t>Ambas as quantificações são essenciais para formular projeções de procura e para desenhar um projeto com a capacidade adequada. As hipóteses subjacentes às funções da procura devem ser testadas mediante a análise das condições da oferta (presentes e futuras), que podem ser afetadas por ações independentes do projeto.</w:t>
      </w:r>
    </w:p>
    <w:p w14:paraId="73A79EEA" w14:textId="77777777" w:rsidR="005F333A" w:rsidRPr="005F333A" w:rsidRDefault="005F333A" w:rsidP="005F333A">
      <w:pPr>
        <w:spacing w:before="120" w:line="360" w:lineRule="auto"/>
        <w:jc w:val="both"/>
      </w:pPr>
      <w:r w:rsidRPr="005F333A">
        <w:t>A procura futura pode vir de utilizadores existentes, utilizadores desviados de outros fornecedores de serviços e utilizadores gerados/induzidos pelas novas atividades providenciadas pelo projeto. A capacidade de um projeto gerar procura induzida, por exemplo, depende, entre outros fatores, da dimensão do projeto face à oferta existente, da elasticidade da procura e da capacidade de intervir na redução do preço de mercado vigente.</w:t>
      </w:r>
    </w:p>
    <w:p w14:paraId="0088623C" w14:textId="77777777" w:rsidR="005F333A" w:rsidRPr="005F333A" w:rsidRDefault="005F333A" w:rsidP="005F333A">
      <w:pPr>
        <w:spacing w:before="120" w:line="360" w:lineRule="auto"/>
        <w:jc w:val="both"/>
      </w:pPr>
      <w:r w:rsidRPr="005F333A">
        <w:t xml:space="preserve">Sempre que os projetos pertencem a redes (como é caso das infraestruturas de transporte, energia, TIC e telecomunicações), a procura pode ser influenciada por questões de dependência mútua (projetos em competição ou complementares) e acessibilidade. </w:t>
      </w:r>
    </w:p>
    <w:p w14:paraId="0B2D4894" w14:textId="77777777" w:rsidR="005F333A" w:rsidRPr="005F333A" w:rsidRDefault="005F333A" w:rsidP="005F333A">
      <w:pPr>
        <w:spacing w:before="120" w:line="360" w:lineRule="auto"/>
        <w:jc w:val="both"/>
      </w:pPr>
      <w:r w:rsidRPr="005F333A">
        <w:lastRenderedPageBreak/>
        <w:t>Várias técnicas (por exemplo, modelos de regressão múltipla, extrapolações de tendências, entrevistas, etc.) podem ser usadas para a previsão da procura, dependendo dos dados disponíveis, dos recursos que podem ser dedicados às estimativas e do setor envolvido. A escolha da técnica mais adequada dependerá, entre outros fatores, da natureza do bem ou do serviço, das características do mercado e da credibilidade dos dados disponíveis. Em alguns casos, como por exemplo no sector dos transportes, são necessários modelos de previsão sofisticados.</w:t>
      </w:r>
    </w:p>
    <w:p w14:paraId="634612C2" w14:textId="77777777" w:rsidR="005F333A" w:rsidRPr="005F333A" w:rsidRDefault="005F333A" w:rsidP="005F333A">
      <w:pPr>
        <w:spacing w:before="120" w:line="360" w:lineRule="auto"/>
        <w:jc w:val="both"/>
      </w:pPr>
      <w:r w:rsidRPr="005F333A">
        <w:t>A precisão das estimativas está estreitamente relacionada com a transparência na definição das principais premissas e parâmetros, valores, tendências e coeficientes utilizados no exercício de previsão. Os pressupostos referentes à evolução da política e do quadro regulamentar também devem ser claramente expressos. O método utilizado para as projeções, a fonte dos dados e os pressupostos de trabalho devem ser claramente explicados e documentados, de forma a facilitar a compreensão da consistência e o realismo das previsões. As informações sobre os modelos matemáticos utilizados, as ferramentas que os suportam e sua qualificação, também são elementos fundamentais para a transparência.</w:t>
      </w:r>
    </w:p>
    <w:tbl>
      <w:tblPr>
        <w:tblStyle w:val="TabelacomGrelha"/>
        <w:tblW w:w="0" w:type="auto"/>
        <w:shd w:val="clear" w:color="auto" w:fill="F2F2F2" w:themeFill="background1" w:themeFillShade="F2"/>
        <w:tblLook w:val="04A0" w:firstRow="1" w:lastRow="0" w:firstColumn="1" w:lastColumn="0" w:noHBand="0" w:noVBand="1"/>
      </w:tblPr>
      <w:tblGrid>
        <w:gridCol w:w="8779"/>
      </w:tblGrid>
      <w:tr w:rsidR="005F333A" w:rsidRPr="005F333A" w14:paraId="42F77497" w14:textId="77777777" w:rsidTr="005F333A">
        <w:trPr>
          <w:trHeight w:val="719"/>
        </w:trPr>
        <w:tc>
          <w:tcPr>
            <w:tcW w:w="8779" w:type="dxa"/>
            <w:tcBorders>
              <w:top w:val="nil"/>
              <w:left w:val="nil"/>
              <w:bottom w:val="nil"/>
              <w:right w:val="nil"/>
            </w:tcBorders>
            <w:shd w:val="clear" w:color="auto" w:fill="F2F2F2" w:themeFill="background1" w:themeFillShade="F2"/>
          </w:tcPr>
          <w:p w14:paraId="124A7C47" w14:textId="77777777" w:rsidR="005F333A" w:rsidRPr="005F333A" w:rsidRDefault="005F333A" w:rsidP="005F333A">
            <w:pPr>
              <w:spacing w:before="120" w:after="160" w:line="360" w:lineRule="auto"/>
              <w:jc w:val="both"/>
              <w:rPr>
                <w:b/>
                <w:bCs/>
              </w:rPr>
            </w:pPr>
            <w:r w:rsidRPr="005F333A">
              <w:rPr>
                <w:b/>
                <w:bCs/>
              </w:rPr>
              <w:t>Boas Práticas</w:t>
            </w:r>
          </w:p>
          <w:p w14:paraId="4E8E58DA" w14:textId="77777777" w:rsidR="005F333A" w:rsidRPr="005F333A" w:rsidRDefault="005F333A" w:rsidP="005F333A">
            <w:pPr>
              <w:numPr>
                <w:ilvl w:val="0"/>
                <w:numId w:val="4"/>
              </w:numPr>
              <w:spacing w:before="120" w:after="160" w:line="360" w:lineRule="auto"/>
              <w:jc w:val="both"/>
            </w:pPr>
            <w:r w:rsidRPr="005F333A">
              <w:t>São utilizados modelos apropriados para determinação das projeções futuras da procura.</w:t>
            </w:r>
          </w:p>
          <w:p w14:paraId="45F391B7" w14:textId="77777777" w:rsidR="005F333A" w:rsidRPr="005F333A" w:rsidRDefault="005F333A" w:rsidP="005F333A">
            <w:pPr>
              <w:numPr>
                <w:ilvl w:val="0"/>
                <w:numId w:val="4"/>
              </w:numPr>
              <w:spacing w:before="120" w:after="160" w:line="360" w:lineRule="auto"/>
              <w:jc w:val="both"/>
            </w:pPr>
            <w:r w:rsidRPr="005F333A">
              <w:t>A procura é avaliada separadamente para todos os grupos distintos de utilizadores/consumidores relevantes para o projeto.</w:t>
            </w:r>
          </w:p>
          <w:p w14:paraId="2C29F040" w14:textId="77777777" w:rsidR="005F333A" w:rsidRPr="005F333A" w:rsidRDefault="005F333A" w:rsidP="005F333A">
            <w:pPr>
              <w:numPr>
                <w:ilvl w:val="0"/>
                <w:numId w:val="4"/>
              </w:numPr>
              <w:spacing w:before="120" w:after="160" w:line="360" w:lineRule="auto"/>
              <w:jc w:val="both"/>
            </w:pPr>
            <w:r w:rsidRPr="005F333A">
              <w:t xml:space="preserve">Efeitos da implementação de políticas atuais (Planos Nacionais e Diretivas da União Europeia) e de instrumentos económicos, que podem influenciar o projeto, são considerados na análise da procura. </w:t>
            </w:r>
          </w:p>
          <w:p w14:paraId="5FF287C3" w14:textId="77777777" w:rsidR="005F333A" w:rsidRPr="005F333A" w:rsidRDefault="005F333A" w:rsidP="005F333A">
            <w:pPr>
              <w:numPr>
                <w:ilvl w:val="0"/>
                <w:numId w:val="4"/>
              </w:numPr>
              <w:spacing w:before="120" w:after="160" w:line="360" w:lineRule="auto"/>
              <w:jc w:val="both"/>
            </w:pPr>
            <w:r w:rsidRPr="005F333A">
              <w:t>Todos os investimentos paralelos, que possam afetar a procura dos serviços prestados pelo projeto, são identificados, descritos e avaliados.</w:t>
            </w:r>
          </w:p>
          <w:p w14:paraId="764F2CBD" w14:textId="77777777" w:rsidR="005F333A" w:rsidRPr="005F333A" w:rsidRDefault="005F333A" w:rsidP="005F333A">
            <w:pPr>
              <w:numPr>
                <w:ilvl w:val="0"/>
                <w:numId w:val="4"/>
              </w:numPr>
              <w:spacing w:before="120" w:after="160" w:line="360" w:lineRule="auto"/>
              <w:jc w:val="both"/>
            </w:pPr>
            <w:r w:rsidRPr="005F333A">
              <w:t>A metodologia e os parâmetros usados ​​para estimar a procura atual e futura são descritos e justificados, e estão alinhados com os padrões nacionais e as previsões oficiais para a região/país.</w:t>
            </w:r>
          </w:p>
          <w:p w14:paraId="567433E3" w14:textId="77777777" w:rsidR="005F333A" w:rsidRPr="005F333A" w:rsidRDefault="005F333A" w:rsidP="005F333A">
            <w:pPr>
              <w:numPr>
                <w:ilvl w:val="0"/>
                <w:numId w:val="4"/>
              </w:numPr>
              <w:spacing w:before="120" w:after="160" w:line="360" w:lineRule="auto"/>
              <w:jc w:val="both"/>
            </w:pPr>
            <w:r w:rsidRPr="005F333A">
              <w:t>A relação entre a análise da procura e a definição da capacidade do projeto é consistente, sendo referenciado o ano em que a procura é mais elevada.</w:t>
            </w:r>
          </w:p>
        </w:tc>
      </w:tr>
    </w:tbl>
    <w:p w14:paraId="2A4098A0" w14:textId="77777777" w:rsidR="005F333A" w:rsidRPr="005F333A" w:rsidRDefault="005F333A" w:rsidP="005F333A">
      <w:pPr>
        <w:spacing w:before="120" w:line="360" w:lineRule="auto"/>
        <w:jc w:val="both"/>
      </w:pPr>
      <w:r w:rsidRPr="005F333A">
        <w:t>Para informação mais detalhada sobre métodos, resultados e principais fatores que afetam a procura, nos diferentes domínios de intervenção devem ser consultados os capítulos 3 a 7 do “</w:t>
      </w:r>
      <w:r w:rsidRPr="005F333A">
        <w:rPr>
          <w:i/>
          <w:iCs/>
        </w:rPr>
        <w:t xml:space="preserve">Guide to </w:t>
      </w:r>
      <w:proofErr w:type="spellStart"/>
      <w:r w:rsidRPr="005F333A">
        <w:rPr>
          <w:i/>
          <w:iCs/>
        </w:rPr>
        <w:t>Cost-benefit</w:t>
      </w:r>
      <w:proofErr w:type="spellEnd"/>
      <w:r w:rsidRPr="005F333A">
        <w:rPr>
          <w:i/>
          <w:iCs/>
        </w:rPr>
        <w:t xml:space="preserve"> </w:t>
      </w:r>
      <w:proofErr w:type="spellStart"/>
      <w:r w:rsidRPr="005F333A">
        <w:rPr>
          <w:i/>
          <w:iCs/>
        </w:rPr>
        <w:t>Analysis</w:t>
      </w:r>
      <w:proofErr w:type="spellEnd"/>
      <w:r w:rsidRPr="005F333A">
        <w:rPr>
          <w:i/>
          <w:iCs/>
        </w:rPr>
        <w:t xml:space="preserve"> </w:t>
      </w:r>
      <w:proofErr w:type="spellStart"/>
      <w:r w:rsidRPr="005F333A">
        <w:rPr>
          <w:i/>
          <w:iCs/>
        </w:rPr>
        <w:t>of</w:t>
      </w:r>
      <w:proofErr w:type="spellEnd"/>
      <w:r w:rsidRPr="005F333A">
        <w:rPr>
          <w:i/>
          <w:iCs/>
        </w:rPr>
        <w:t xml:space="preserve"> </w:t>
      </w:r>
      <w:proofErr w:type="spellStart"/>
      <w:r w:rsidRPr="005F333A">
        <w:rPr>
          <w:i/>
          <w:iCs/>
        </w:rPr>
        <w:t>Investment</w:t>
      </w:r>
      <w:proofErr w:type="spellEnd"/>
      <w:r w:rsidRPr="005F333A">
        <w:rPr>
          <w:i/>
          <w:iCs/>
        </w:rPr>
        <w:t xml:space="preserve"> </w:t>
      </w:r>
      <w:proofErr w:type="spellStart"/>
      <w:r w:rsidRPr="005F333A">
        <w:rPr>
          <w:i/>
          <w:iCs/>
        </w:rPr>
        <w:t>Projects</w:t>
      </w:r>
      <w:proofErr w:type="spellEnd"/>
      <w:r w:rsidRPr="005F333A">
        <w:rPr>
          <w:i/>
          <w:iCs/>
        </w:rPr>
        <w:t xml:space="preserve"> - </w:t>
      </w:r>
      <w:proofErr w:type="spellStart"/>
      <w:r w:rsidRPr="005F333A">
        <w:rPr>
          <w:i/>
          <w:iCs/>
        </w:rPr>
        <w:t>Economic</w:t>
      </w:r>
      <w:proofErr w:type="spellEnd"/>
      <w:r w:rsidRPr="005F333A">
        <w:rPr>
          <w:i/>
          <w:iCs/>
        </w:rPr>
        <w:t xml:space="preserve"> </w:t>
      </w:r>
      <w:proofErr w:type="spellStart"/>
      <w:r w:rsidRPr="005F333A">
        <w:rPr>
          <w:i/>
          <w:iCs/>
        </w:rPr>
        <w:t>appraisal</w:t>
      </w:r>
      <w:proofErr w:type="spellEnd"/>
      <w:r w:rsidRPr="005F333A">
        <w:rPr>
          <w:i/>
          <w:iCs/>
        </w:rPr>
        <w:t xml:space="preserve"> </w:t>
      </w:r>
      <w:proofErr w:type="spellStart"/>
      <w:r w:rsidRPr="005F333A">
        <w:rPr>
          <w:i/>
          <w:iCs/>
        </w:rPr>
        <w:t>tool</w:t>
      </w:r>
      <w:proofErr w:type="spellEnd"/>
      <w:r w:rsidRPr="005F333A">
        <w:rPr>
          <w:i/>
          <w:iCs/>
        </w:rPr>
        <w:t xml:space="preserve"> for </w:t>
      </w:r>
      <w:proofErr w:type="spellStart"/>
      <w:r w:rsidRPr="005F333A">
        <w:rPr>
          <w:i/>
          <w:iCs/>
        </w:rPr>
        <w:t>Cohesion</w:t>
      </w:r>
      <w:proofErr w:type="spellEnd"/>
      <w:r w:rsidRPr="005F333A">
        <w:rPr>
          <w:i/>
          <w:iCs/>
        </w:rPr>
        <w:t xml:space="preserve"> </w:t>
      </w:r>
      <w:proofErr w:type="spellStart"/>
      <w:r w:rsidRPr="005F333A">
        <w:rPr>
          <w:i/>
          <w:iCs/>
        </w:rPr>
        <w:t>Policy</w:t>
      </w:r>
      <w:proofErr w:type="spellEnd"/>
      <w:r w:rsidRPr="005F333A">
        <w:rPr>
          <w:i/>
          <w:iCs/>
        </w:rPr>
        <w:t xml:space="preserve"> 2014-2020</w:t>
      </w:r>
      <w:r w:rsidRPr="005F333A">
        <w:t>”.</w:t>
      </w:r>
    </w:p>
    <w:p w14:paraId="0B2C0ED1" w14:textId="77777777" w:rsidR="005F333A" w:rsidRPr="005F333A" w:rsidRDefault="005F333A" w:rsidP="005F333A">
      <w:pPr>
        <w:numPr>
          <w:ilvl w:val="2"/>
          <w:numId w:val="1"/>
        </w:numPr>
        <w:spacing w:before="120" w:line="360" w:lineRule="auto"/>
        <w:jc w:val="both"/>
        <w:rPr>
          <w:b/>
          <w:bCs/>
        </w:rPr>
      </w:pPr>
      <w:bookmarkStart w:id="17" w:name="_Toc136629401"/>
      <w:r w:rsidRPr="005F333A">
        <w:rPr>
          <w:b/>
          <w:bCs/>
        </w:rPr>
        <w:lastRenderedPageBreak/>
        <w:t>Projeto Técnico, Estimativas de Custo e Cronograma de Implementação</w:t>
      </w:r>
      <w:bookmarkEnd w:id="17"/>
    </w:p>
    <w:p w14:paraId="34410F7D" w14:textId="77777777" w:rsidR="005F333A" w:rsidRPr="005F333A" w:rsidRDefault="005F333A" w:rsidP="005F333A">
      <w:pPr>
        <w:spacing w:before="120" w:line="360" w:lineRule="auto"/>
        <w:jc w:val="both"/>
      </w:pPr>
      <w:r w:rsidRPr="005F333A">
        <w:t>A solução de projeto proposta deve ser apresentada com a seguinte informação:</w:t>
      </w:r>
    </w:p>
    <w:p w14:paraId="3EFC04A7" w14:textId="77777777" w:rsidR="005F333A" w:rsidRPr="005F333A" w:rsidRDefault="005F333A" w:rsidP="005F333A">
      <w:pPr>
        <w:numPr>
          <w:ilvl w:val="0"/>
          <w:numId w:val="5"/>
        </w:numPr>
        <w:spacing w:before="120" w:line="360" w:lineRule="auto"/>
        <w:jc w:val="both"/>
      </w:pPr>
      <w:r w:rsidRPr="005F333A">
        <w:rPr>
          <w:b/>
          <w:bCs/>
        </w:rPr>
        <w:t>Localização</w:t>
      </w:r>
      <w:r w:rsidRPr="005F333A">
        <w:t>: descrição da localização do projeto, incluindo uma ilustração gráfica (mapa). Caso o proprietário dos terrenos evidenciados no mapa de localização não seja o promotor do projeto, as condições de aquisição/arrendamento devem ser descritas e compatíveis com a vida útil do ativo com maior duração. O processo administrativo e de disponibilidade de autorizações relevantes para a implementação do projeto também deve ser explanado.</w:t>
      </w:r>
    </w:p>
    <w:p w14:paraId="654B5721" w14:textId="77777777" w:rsidR="005F333A" w:rsidRPr="005F333A" w:rsidRDefault="005F333A" w:rsidP="005F333A">
      <w:pPr>
        <w:numPr>
          <w:ilvl w:val="0"/>
          <w:numId w:val="5"/>
        </w:numPr>
        <w:spacing w:before="120" w:line="360" w:lineRule="auto"/>
        <w:jc w:val="both"/>
      </w:pPr>
      <w:r w:rsidRPr="005F333A">
        <w:rPr>
          <w:b/>
          <w:bCs/>
        </w:rPr>
        <w:t>Projeto de execução</w:t>
      </w:r>
      <w:r w:rsidRPr="005F333A">
        <w:t xml:space="preserve">: descrição das principais componentes da obra, tecnologia adotada, normas e especificações. Devem ser fornecidos indicadores chave de realização, definidos como as principais quantidades físicas produzidas (por exemplo, quilómetros de via-férrea, número de viadutos, número de árvores plantadas, etc.). </w:t>
      </w:r>
    </w:p>
    <w:p w14:paraId="165A6C60" w14:textId="77777777" w:rsidR="005F333A" w:rsidRPr="005F333A" w:rsidRDefault="005F333A" w:rsidP="005F333A">
      <w:pPr>
        <w:numPr>
          <w:ilvl w:val="0"/>
          <w:numId w:val="5"/>
        </w:numPr>
        <w:spacing w:before="120" w:line="360" w:lineRule="auto"/>
        <w:jc w:val="both"/>
      </w:pPr>
      <w:r w:rsidRPr="005F333A">
        <w:rPr>
          <w:b/>
          <w:bCs/>
        </w:rPr>
        <w:t>Plano de operacionalização</w:t>
      </w:r>
      <w:r w:rsidRPr="005F333A">
        <w:t>: descrição da capacidade da infraestrutura e a taxa de utilização esperada, com a explicação do serviço na ótica da oferta. A abrangência e a dimensão do projeto devem ser justificadas no contexto das projeções da procura.</w:t>
      </w:r>
    </w:p>
    <w:p w14:paraId="25FC5B1F" w14:textId="77777777" w:rsidR="005F333A" w:rsidRPr="005F333A" w:rsidRDefault="005F333A" w:rsidP="005F333A">
      <w:pPr>
        <w:numPr>
          <w:ilvl w:val="0"/>
          <w:numId w:val="5"/>
        </w:numPr>
        <w:spacing w:before="120" w:line="360" w:lineRule="auto"/>
        <w:jc w:val="both"/>
      </w:pPr>
      <w:r w:rsidRPr="005F333A">
        <w:rPr>
          <w:b/>
          <w:bCs/>
        </w:rPr>
        <w:t>Estimativas de custos</w:t>
      </w:r>
      <w:r w:rsidRPr="005F333A">
        <w:t>: a estimativa das necessidades financeiras para realização do projeto e para a sua operacionalização constitui informação chave para a realização do EVF. Neste âmbito, deve ser apresentada documentação de suporte para os montantes do investimento a preços correntes (registos históricos, adjudicações, faturação, estudos técnicos, etc.). A projeção dos custos de substituição deve ser realizada em conformidade com as vidas úteis assumidas, estando as mesmas suportadas por documentação técnica. A previsão do montante total de custos operacionais (fixos e variáveis) deve ser suportada por apuramentos contabilísticos da classe 6, estudo da procura e/ou outros documentos técnicos (quantidades e valor unitário).</w:t>
      </w:r>
    </w:p>
    <w:p w14:paraId="5D40693C" w14:textId="77777777" w:rsidR="005F333A" w:rsidRPr="005F333A" w:rsidRDefault="005F333A" w:rsidP="005F333A">
      <w:pPr>
        <w:numPr>
          <w:ilvl w:val="0"/>
          <w:numId w:val="5"/>
        </w:numPr>
        <w:spacing w:before="120" w:line="360" w:lineRule="auto"/>
        <w:jc w:val="both"/>
      </w:pPr>
      <w:r w:rsidRPr="005F333A">
        <w:rPr>
          <w:b/>
          <w:bCs/>
        </w:rPr>
        <w:t>Cronograma de implementação</w:t>
      </w:r>
      <w:r w:rsidRPr="005F333A">
        <w:t xml:space="preserve">: deve ser fornecido um cronograma realista do projeto e com um nível de detalhe elevado, por exemplo, um Diagrama de </w:t>
      </w:r>
      <w:proofErr w:type="spellStart"/>
      <w:r w:rsidRPr="005F333A">
        <w:t>Gantt</w:t>
      </w:r>
      <w:proofErr w:type="spellEnd"/>
      <w:r w:rsidRPr="005F333A">
        <w:t xml:space="preserve"> (ou cronograma de execução física equivalente) com a implementação das ações/obras planeadas.</w:t>
      </w:r>
    </w:p>
    <w:p w14:paraId="0B120CC0" w14:textId="77777777" w:rsidR="005F333A" w:rsidRPr="005F333A" w:rsidRDefault="005F333A" w:rsidP="005F333A">
      <w:pPr>
        <w:spacing w:before="120" w:line="360" w:lineRule="auto"/>
        <w:jc w:val="both"/>
      </w:pPr>
    </w:p>
    <w:p w14:paraId="4E7FCF15" w14:textId="77777777" w:rsidR="005F333A" w:rsidRPr="005F333A" w:rsidRDefault="005F333A" w:rsidP="005F333A">
      <w:pPr>
        <w:numPr>
          <w:ilvl w:val="1"/>
          <w:numId w:val="1"/>
        </w:numPr>
        <w:spacing w:before="120" w:line="360" w:lineRule="auto"/>
        <w:jc w:val="both"/>
        <w:rPr>
          <w:b/>
          <w:bCs/>
        </w:rPr>
      </w:pPr>
      <w:bookmarkStart w:id="18" w:name="_Toc136629402"/>
      <w:r w:rsidRPr="005F333A">
        <w:rPr>
          <w:b/>
          <w:bCs/>
        </w:rPr>
        <w:t>Análise Financeira</w:t>
      </w:r>
      <w:bookmarkEnd w:id="18"/>
    </w:p>
    <w:p w14:paraId="18382E5A" w14:textId="77777777" w:rsidR="005F333A" w:rsidRPr="005F333A" w:rsidRDefault="005F333A" w:rsidP="005F333A">
      <w:pPr>
        <w:spacing w:before="120" w:line="360" w:lineRule="auto"/>
        <w:jc w:val="both"/>
      </w:pPr>
      <w:r w:rsidRPr="005F333A">
        <w:t>A análise financeira deve ser realizada como o objetivo de:</w:t>
      </w:r>
    </w:p>
    <w:p w14:paraId="3E56DE61" w14:textId="77777777" w:rsidR="005F333A" w:rsidRPr="005F333A" w:rsidRDefault="005F333A" w:rsidP="005F333A">
      <w:pPr>
        <w:numPr>
          <w:ilvl w:val="0"/>
          <w:numId w:val="5"/>
        </w:numPr>
        <w:spacing w:before="120" w:line="360" w:lineRule="auto"/>
        <w:jc w:val="both"/>
      </w:pPr>
      <w:r w:rsidRPr="005F333A">
        <w:t>avaliar a rentabilidade financeira do investimento;</w:t>
      </w:r>
    </w:p>
    <w:p w14:paraId="259E051C" w14:textId="77777777" w:rsidR="005F333A" w:rsidRPr="005F333A" w:rsidRDefault="005F333A" w:rsidP="005F333A">
      <w:pPr>
        <w:numPr>
          <w:ilvl w:val="0"/>
          <w:numId w:val="5"/>
        </w:numPr>
        <w:spacing w:before="120" w:line="360" w:lineRule="auto"/>
        <w:jc w:val="both"/>
      </w:pPr>
      <w:r w:rsidRPr="005F333A">
        <w:lastRenderedPageBreak/>
        <w:t>verificar a sustentabilidade financeira do investimento;</w:t>
      </w:r>
    </w:p>
    <w:p w14:paraId="460A6E3E" w14:textId="77777777" w:rsidR="005F333A" w:rsidRPr="005F333A" w:rsidRDefault="005F333A" w:rsidP="005F333A">
      <w:pPr>
        <w:spacing w:before="120" w:line="360" w:lineRule="auto"/>
        <w:jc w:val="both"/>
      </w:pPr>
      <w:r w:rsidRPr="005F333A">
        <w:t>A informação a ser considerada nesta análise é seguidamente descrita em detalhe:</w:t>
      </w:r>
    </w:p>
    <w:p w14:paraId="19342D79" w14:textId="77777777" w:rsidR="005F333A" w:rsidRPr="005F333A" w:rsidRDefault="005F333A" w:rsidP="005F333A">
      <w:pPr>
        <w:numPr>
          <w:ilvl w:val="2"/>
          <w:numId w:val="1"/>
        </w:numPr>
        <w:spacing w:before="120" w:line="360" w:lineRule="auto"/>
        <w:jc w:val="both"/>
        <w:rPr>
          <w:b/>
          <w:bCs/>
        </w:rPr>
      </w:pPr>
      <w:bookmarkStart w:id="19" w:name="_Toc136629403"/>
      <w:r w:rsidRPr="005F333A">
        <w:rPr>
          <w:b/>
          <w:bCs/>
        </w:rPr>
        <w:t>Metodologia</w:t>
      </w:r>
      <w:bookmarkEnd w:id="19"/>
    </w:p>
    <w:p w14:paraId="01C1327C" w14:textId="77777777" w:rsidR="005F333A" w:rsidRPr="005F333A" w:rsidRDefault="005F333A" w:rsidP="005F333A">
      <w:pPr>
        <w:spacing w:before="120" w:line="360" w:lineRule="auto"/>
        <w:jc w:val="both"/>
      </w:pPr>
      <w:r w:rsidRPr="005F333A">
        <w:t xml:space="preserve">No âmbito do Programa foi adotado, para efeitos de realização da Análise Financeira, o </w:t>
      </w:r>
      <w:r w:rsidRPr="005F333A">
        <w:rPr>
          <w:b/>
          <w:bCs/>
        </w:rPr>
        <w:t>Método do</w:t>
      </w:r>
      <w:r w:rsidRPr="005F333A">
        <w:t xml:space="preserve"> </w:t>
      </w:r>
      <w:r w:rsidRPr="005F333A">
        <w:rPr>
          <w:b/>
          <w:bCs/>
        </w:rPr>
        <w:t>Cálculo da Receita Líquida Atualizada (</w:t>
      </w:r>
      <w:proofErr w:type="spellStart"/>
      <w:r w:rsidRPr="005F333A">
        <w:rPr>
          <w:b/>
          <w:bCs/>
          <w:i/>
          <w:iCs/>
        </w:rPr>
        <w:t>Discounted</w:t>
      </w:r>
      <w:proofErr w:type="spellEnd"/>
      <w:r w:rsidRPr="005F333A">
        <w:rPr>
          <w:b/>
          <w:bCs/>
          <w:i/>
          <w:iCs/>
        </w:rPr>
        <w:t xml:space="preserve"> Cash </w:t>
      </w:r>
      <w:proofErr w:type="spellStart"/>
      <w:r w:rsidRPr="005F333A">
        <w:rPr>
          <w:b/>
          <w:bCs/>
          <w:i/>
          <w:iCs/>
        </w:rPr>
        <w:t>Flows</w:t>
      </w:r>
      <w:proofErr w:type="spellEnd"/>
      <w:r w:rsidRPr="005F333A">
        <w:rPr>
          <w:b/>
          <w:bCs/>
          <w:i/>
          <w:iCs/>
        </w:rPr>
        <w:t xml:space="preserve"> </w:t>
      </w:r>
      <w:proofErr w:type="spellStart"/>
      <w:r w:rsidRPr="005F333A">
        <w:rPr>
          <w:b/>
          <w:bCs/>
          <w:i/>
          <w:iCs/>
        </w:rPr>
        <w:t>Method</w:t>
      </w:r>
      <w:proofErr w:type="spellEnd"/>
      <w:r w:rsidRPr="005F333A">
        <w:rPr>
          <w:b/>
          <w:bCs/>
        </w:rPr>
        <w:t xml:space="preserve">), </w:t>
      </w:r>
      <w:r w:rsidRPr="005F333A">
        <w:t>nos termos do documento “</w:t>
      </w:r>
      <w:r w:rsidRPr="005F333A">
        <w:rPr>
          <w:i/>
          <w:iCs/>
        </w:rPr>
        <w:t xml:space="preserve">Guide to </w:t>
      </w:r>
      <w:proofErr w:type="spellStart"/>
      <w:r w:rsidRPr="005F333A">
        <w:rPr>
          <w:i/>
          <w:iCs/>
        </w:rPr>
        <w:t>Cost-benefit</w:t>
      </w:r>
      <w:proofErr w:type="spellEnd"/>
      <w:r w:rsidRPr="005F333A">
        <w:rPr>
          <w:i/>
          <w:iCs/>
        </w:rPr>
        <w:t xml:space="preserve"> </w:t>
      </w:r>
      <w:proofErr w:type="spellStart"/>
      <w:r w:rsidRPr="005F333A">
        <w:rPr>
          <w:i/>
          <w:iCs/>
        </w:rPr>
        <w:t>Analysis</w:t>
      </w:r>
      <w:proofErr w:type="spellEnd"/>
      <w:r w:rsidRPr="005F333A">
        <w:rPr>
          <w:i/>
          <w:iCs/>
        </w:rPr>
        <w:t xml:space="preserve"> </w:t>
      </w:r>
      <w:proofErr w:type="spellStart"/>
      <w:r w:rsidRPr="005F333A">
        <w:rPr>
          <w:i/>
          <w:iCs/>
        </w:rPr>
        <w:t>of</w:t>
      </w:r>
      <w:proofErr w:type="spellEnd"/>
      <w:r w:rsidRPr="005F333A">
        <w:rPr>
          <w:i/>
          <w:iCs/>
        </w:rPr>
        <w:t xml:space="preserve"> </w:t>
      </w:r>
      <w:proofErr w:type="spellStart"/>
      <w:r w:rsidRPr="005F333A">
        <w:rPr>
          <w:i/>
          <w:iCs/>
        </w:rPr>
        <w:t>Investment</w:t>
      </w:r>
      <w:proofErr w:type="spellEnd"/>
      <w:r w:rsidRPr="005F333A">
        <w:rPr>
          <w:i/>
          <w:iCs/>
        </w:rPr>
        <w:t xml:space="preserve"> </w:t>
      </w:r>
      <w:proofErr w:type="spellStart"/>
      <w:r w:rsidRPr="005F333A">
        <w:rPr>
          <w:i/>
          <w:iCs/>
        </w:rPr>
        <w:t>Projects</w:t>
      </w:r>
      <w:proofErr w:type="spellEnd"/>
      <w:r w:rsidRPr="005F333A">
        <w:rPr>
          <w:i/>
          <w:iCs/>
        </w:rPr>
        <w:t xml:space="preserve"> - </w:t>
      </w:r>
      <w:proofErr w:type="spellStart"/>
      <w:r w:rsidRPr="005F333A">
        <w:rPr>
          <w:i/>
          <w:iCs/>
        </w:rPr>
        <w:t>Economic</w:t>
      </w:r>
      <w:proofErr w:type="spellEnd"/>
      <w:r w:rsidRPr="005F333A">
        <w:rPr>
          <w:i/>
          <w:iCs/>
        </w:rPr>
        <w:t xml:space="preserve"> </w:t>
      </w:r>
      <w:proofErr w:type="spellStart"/>
      <w:r w:rsidRPr="005F333A">
        <w:rPr>
          <w:i/>
          <w:iCs/>
        </w:rPr>
        <w:t>appraisal</w:t>
      </w:r>
      <w:proofErr w:type="spellEnd"/>
      <w:r w:rsidRPr="005F333A">
        <w:rPr>
          <w:i/>
          <w:iCs/>
        </w:rPr>
        <w:t xml:space="preserve"> </w:t>
      </w:r>
      <w:proofErr w:type="spellStart"/>
      <w:r w:rsidRPr="005F333A">
        <w:rPr>
          <w:i/>
          <w:iCs/>
        </w:rPr>
        <w:t>tool</w:t>
      </w:r>
      <w:proofErr w:type="spellEnd"/>
      <w:r w:rsidRPr="005F333A">
        <w:rPr>
          <w:i/>
          <w:iCs/>
        </w:rPr>
        <w:t xml:space="preserve"> for </w:t>
      </w:r>
      <w:proofErr w:type="spellStart"/>
      <w:r w:rsidRPr="005F333A">
        <w:rPr>
          <w:i/>
          <w:iCs/>
        </w:rPr>
        <w:t>Cohesion</w:t>
      </w:r>
      <w:proofErr w:type="spellEnd"/>
      <w:r w:rsidRPr="005F333A">
        <w:rPr>
          <w:i/>
          <w:iCs/>
        </w:rPr>
        <w:t xml:space="preserve"> </w:t>
      </w:r>
      <w:proofErr w:type="spellStart"/>
      <w:r w:rsidRPr="005F333A">
        <w:rPr>
          <w:i/>
          <w:iCs/>
        </w:rPr>
        <w:t>Policy</w:t>
      </w:r>
      <w:proofErr w:type="spellEnd"/>
      <w:r w:rsidRPr="005F333A">
        <w:rPr>
          <w:i/>
          <w:iCs/>
        </w:rPr>
        <w:t xml:space="preserve"> 2014-2020</w:t>
      </w:r>
      <w:r w:rsidRPr="005F333A">
        <w:t>”, que continua a constituir o documento de referência da Comissão Europeia para a realização desta avaliação.</w:t>
      </w:r>
    </w:p>
    <w:p w14:paraId="6BBA6303" w14:textId="77777777" w:rsidR="005F333A" w:rsidRPr="005F333A" w:rsidRDefault="005F333A" w:rsidP="005F333A">
      <w:pPr>
        <w:spacing w:before="120" w:line="360" w:lineRule="auto"/>
        <w:jc w:val="both"/>
      </w:pPr>
      <w:r w:rsidRPr="005F333A">
        <w:t>Para efeitos da aplicação desta metodologia devem ser adotados os seguintes pressupostos:</w:t>
      </w:r>
    </w:p>
    <w:p w14:paraId="68754B1F" w14:textId="77777777" w:rsidR="005F333A" w:rsidRPr="005F333A" w:rsidRDefault="005F333A" w:rsidP="005F333A">
      <w:pPr>
        <w:numPr>
          <w:ilvl w:val="0"/>
          <w:numId w:val="5"/>
        </w:numPr>
        <w:spacing w:before="120" w:line="360" w:lineRule="auto"/>
        <w:jc w:val="both"/>
      </w:pPr>
      <w:r w:rsidRPr="005F333A">
        <w:t xml:space="preserve">O </w:t>
      </w:r>
      <w:r w:rsidRPr="005F333A">
        <w:rPr>
          <w:b/>
          <w:bCs/>
        </w:rPr>
        <w:t>ano base</w:t>
      </w:r>
      <w:r w:rsidRPr="005F333A">
        <w:t xml:space="preserve"> a considerar deve corresponder ao ano que torna o investimento irreversível, ou seja, o início dos trabalhos de construção relacionados com o investimento ou o primeiro compromisso firme de encomenda de equipamentos. A compra de terrenos e os trabalhos preparatórios, como a obtenção de licenças e a realização de estudos de viabilidade, etc., não são considerados início dos trabalhos.</w:t>
      </w:r>
    </w:p>
    <w:p w14:paraId="76CFDDB8" w14:textId="77777777" w:rsidR="005F333A" w:rsidRPr="005F333A" w:rsidRDefault="005F333A" w:rsidP="005F333A">
      <w:pPr>
        <w:numPr>
          <w:ilvl w:val="0"/>
          <w:numId w:val="5"/>
        </w:numPr>
        <w:spacing w:before="120" w:line="360" w:lineRule="auto"/>
        <w:jc w:val="both"/>
      </w:pPr>
      <w:r w:rsidRPr="005F333A">
        <w:t xml:space="preserve">A escolha do </w:t>
      </w:r>
      <w:r w:rsidRPr="005F333A">
        <w:rPr>
          <w:b/>
          <w:bCs/>
        </w:rPr>
        <w:t>período de referência</w:t>
      </w:r>
      <w:r w:rsidRPr="005F333A">
        <w:t xml:space="preserve"> da análise afeta os resultados da avaliação, pelo que devem ser considerados os períodos de referência (por setor) previstos na Tabela 2. O período de referência não deve ser confundido com o período de vida útil da infraestrutura e dos respetivos equipamentos.</w:t>
      </w:r>
    </w:p>
    <w:p w14:paraId="1F79C68B" w14:textId="77777777" w:rsidR="005F333A" w:rsidRPr="005F333A" w:rsidRDefault="005F333A" w:rsidP="005F333A">
      <w:pPr>
        <w:numPr>
          <w:ilvl w:val="0"/>
          <w:numId w:val="5"/>
        </w:numPr>
        <w:spacing w:before="120" w:line="360" w:lineRule="auto"/>
        <w:jc w:val="both"/>
      </w:pPr>
      <w:r w:rsidRPr="005F333A">
        <w:t xml:space="preserve">A análise financeira deve ser </w:t>
      </w:r>
      <w:r w:rsidRPr="005F333A">
        <w:rPr>
          <w:b/>
          <w:bCs/>
        </w:rPr>
        <w:t>realizada a preços constantes (reais) do ano base</w:t>
      </w:r>
      <w:r w:rsidRPr="005F333A">
        <w:t xml:space="preserve">. A utilização de preços correntes, ou seja, ajustados pelo Índice de Preços no Consumidor (IPC), envolveria uma previsão do IPC que nem sempre se revela necessária. Para eventuais custos de investimento anteriores ao ano base (ano da decisão que torna o investimento irreversível) os preços devem ser convertidos a constantes do ano base, mediante capitalização pelo IPC. </w:t>
      </w:r>
    </w:p>
    <w:p w14:paraId="1DC28F26" w14:textId="77777777" w:rsidR="005F333A" w:rsidRPr="005F333A" w:rsidRDefault="005F333A" w:rsidP="005F333A">
      <w:pPr>
        <w:spacing w:before="120" w:line="360" w:lineRule="auto"/>
        <w:jc w:val="both"/>
      </w:pPr>
      <w:r w:rsidRPr="005F333A">
        <w:t xml:space="preserve">Quando é prevista uma diferente taxa de crescimento dos preços para itens-chave específicos, este diferencial deve ser considerado nas projeções dos fluxos de caixa futuros. </w:t>
      </w:r>
    </w:p>
    <w:p w14:paraId="62CDFDA4" w14:textId="77777777" w:rsidR="005F333A" w:rsidRPr="005F333A" w:rsidRDefault="005F333A" w:rsidP="005F333A">
      <w:pPr>
        <w:numPr>
          <w:ilvl w:val="0"/>
          <w:numId w:val="5"/>
        </w:numPr>
        <w:spacing w:before="120" w:line="360" w:lineRule="auto"/>
        <w:jc w:val="both"/>
      </w:pPr>
      <w:r w:rsidRPr="005F333A">
        <w:t>Não deve ser considerado o montante associado a revisões de preços, uma vez que a análise é efetuada a preços constantes do primeiro ano do investimento, sendo por isso excluído o efeito da inflação.</w:t>
      </w:r>
    </w:p>
    <w:p w14:paraId="13885599" w14:textId="77777777" w:rsidR="005F333A" w:rsidRPr="005F333A" w:rsidRDefault="005F333A" w:rsidP="005F333A">
      <w:pPr>
        <w:numPr>
          <w:ilvl w:val="0"/>
          <w:numId w:val="5"/>
        </w:numPr>
        <w:spacing w:before="120" w:line="360" w:lineRule="auto"/>
        <w:jc w:val="both"/>
      </w:pPr>
      <w:r w:rsidRPr="005F333A">
        <w:t xml:space="preserve">De modo a salvaguardar a consistência entre as taxas de desconto financeiras utilizadas em projetos similares, é adotada </w:t>
      </w:r>
      <w:r w:rsidRPr="005F333A">
        <w:rPr>
          <w:b/>
          <w:bCs/>
        </w:rPr>
        <w:t>da taxa de desconto de 4,00% para aplicação do Método do Cálculo da Receita Líquida Atualizada (</w:t>
      </w:r>
      <w:proofErr w:type="spellStart"/>
      <w:r w:rsidRPr="005F333A">
        <w:rPr>
          <w:b/>
          <w:bCs/>
          <w:i/>
          <w:iCs/>
        </w:rPr>
        <w:t>Discounted</w:t>
      </w:r>
      <w:proofErr w:type="spellEnd"/>
      <w:r w:rsidRPr="005F333A">
        <w:rPr>
          <w:b/>
          <w:bCs/>
          <w:i/>
          <w:iCs/>
        </w:rPr>
        <w:t xml:space="preserve"> Cash </w:t>
      </w:r>
      <w:proofErr w:type="spellStart"/>
      <w:r w:rsidRPr="005F333A">
        <w:rPr>
          <w:b/>
          <w:bCs/>
          <w:i/>
          <w:iCs/>
        </w:rPr>
        <w:t>Flows</w:t>
      </w:r>
      <w:proofErr w:type="spellEnd"/>
      <w:r w:rsidRPr="005F333A">
        <w:rPr>
          <w:b/>
          <w:bCs/>
          <w:i/>
          <w:iCs/>
        </w:rPr>
        <w:t xml:space="preserve"> </w:t>
      </w:r>
      <w:proofErr w:type="spellStart"/>
      <w:r w:rsidRPr="005F333A">
        <w:rPr>
          <w:b/>
          <w:bCs/>
          <w:i/>
          <w:iCs/>
        </w:rPr>
        <w:t>Method</w:t>
      </w:r>
      <w:proofErr w:type="spellEnd"/>
      <w:r w:rsidRPr="005F333A">
        <w:rPr>
          <w:b/>
          <w:bCs/>
        </w:rPr>
        <w:t>),</w:t>
      </w:r>
      <w:r w:rsidRPr="005F333A">
        <w:t xml:space="preserve"> já que esta foi </w:t>
      </w:r>
      <w:r w:rsidRPr="005F333A">
        <w:lastRenderedPageBreak/>
        <w:t>considerada, no período de programação anterior, como o parâmetro de referência para o real custo de oportunidade do capital a longo prazo. A aplicação de uma taxa distinta, deve ser devidamente justificada com base em tendências e conjunturas macroeconómicas internacionais, em condições macroeconómicas específicas do Estado-Membro e na natureza do investidor e/ou do setor em causa.</w:t>
      </w:r>
    </w:p>
    <w:p w14:paraId="704879F7" w14:textId="77777777" w:rsidR="005F333A" w:rsidRPr="005F333A" w:rsidRDefault="005F333A" w:rsidP="005F333A">
      <w:pPr>
        <w:numPr>
          <w:ilvl w:val="0"/>
          <w:numId w:val="5"/>
        </w:numPr>
        <w:spacing w:before="120" w:line="360" w:lineRule="auto"/>
        <w:jc w:val="both"/>
      </w:pPr>
      <w:r w:rsidRPr="005F333A">
        <w:t xml:space="preserve">Apenas </w:t>
      </w:r>
      <w:r w:rsidRPr="005F333A">
        <w:rPr>
          <w:b/>
          <w:bCs/>
        </w:rPr>
        <w:t xml:space="preserve">entradas e saídas de caixa </w:t>
      </w:r>
      <w:r w:rsidRPr="005F333A">
        <w:t>são consideradas na análise, ou seja, depreciações, reservas, contingências e outros itens que não constituem fluxos do projeto devem ser desconsiderados.</w:t>
      </w:r>
    </w:p>
    <w:p w14:paraId="277BD917" w14:textId="77777777" w:rsidR="005F333A" w:rsidRPr="005F333A" w:rsidRDefault="005F333A" w:rsidP="005F333A">
      <w:pPr>
        <w:numPr>
          <w:ilvl w:val="0"/>
          <w:numId w:val="5"/>
        </w:numPr>
        <w:spacing w:before="120" w:line="360" w:lineRule="auto"/>
        <w:jc w:val="both"/>
      </w:pPr>
      <w:r w:rsidRPr="005F333A">
        <w:t xml:space="preserve">As receitas e os custos de exploração a considerar devem ser identificados mediante a aplicação do </w:t>
      </w:r>
      <w:r w:rsidRPr="005F333A">
        <w:rPr>
          <w:b/>
          <w:bCs/>
        </w:rPr>
        <w:t>Método Incremental,</w:t>
      </w:r>
      <w:r w:rsidRPr="005F333A">
        <w:t xml:space="preserve"> com base na comparação entre a situação das receitas e dos custos com o novo investimento e a situação das receitas e dos custos sem o novo investimento. Sempre que uma operação respeite a um novo ativo, devem ser apenas consideradas as receitas e os custos decorrentes desse novo investimento. </w:t>
      </w:r>
    </w:p>
    <w:p w14:paraId="5544119C" w14:textId="77777777" w:rsidR="005F333A" w:rsidRPr="005F333A" w:rsidRDefault="005F333A" w:rsidP="005F333A">
      <w:pPr>
        <w:numPr>
          <w:ilvl w:val="0"/>
          <w:numId w:val="5"/>
        </w:numPr>
        <w:spacing w:before="120" w:line="360" w:lineRule="auto"/>
        <w:jc w:val="both"/>
      </w:pPr>
      <w:r w:rsidRPr="005F333A">
        <w:t xml:space="preserve">Regra geral, a análise financeira é ser realizada na </w:t>
      </w:r>
      <w:r w:rsidRPr="005F333A">
        <w:rPr>
          <w:b/>
          <w:bCs/>
        </w:rPr>
        <w:t>ótica do proprietário da infraestrutura</w:t>
      </w:r>
      <w:r w:rsidRPr="005F333A">
        <w:t xml:space="preserve">. Sempre que o operador e o proprietário da infraestrutura não constituam a mesma entidade, deve ser realizada uma </w:t>
      </w:r>
      <w:r w:rsidRPr="005F333A">
        <w:rPr>
          <w:b/>
          <w:bCs/>
        </w:rPr>
        <w:t>análise financeira consolidada</w:t>
      </w:r>
      <w:r w:rsidRPr="005F333A">
        <w:t xml:space="preserve"> que exclua os fluxos de caixa entre ambos e que avalie a rentabilidade efetiva do investimento. Esta abordagem é particularmente relevante quando existe apenas um operador que presta o serviço do proprietário da infraestrutura ao abrigo de um Contrato de Concessão.</w:t>
      </w:r>
    </w:p>
    <w:p w14:paraId="2F6467BD" w14:textId="77777777" w:rsidR="005F333A" w:rsidRPr="005F333A" w:rsidRDefault="005F333A" w:rsidP="005F333A">
      <w:pPr>
        <w:numPr>
          <w:ilvl w:val="0"/>
          <w:numId w:val="5"/>
        </w:numPr>
        <w:spacing w:before="120" w:line="360" w:lineRule="auto"/>
        <w:jc w:val="both"/>
      </w:pPr>
      <w:r w:rsidRPr="005F333A">
        <w:t xml:space="preserve">As </w:t>
      </w:r>
      <w:r w:rsidRPr="005F333A">
        <w:rPr>
          <w:b/>
          <w:bCs/>
        </w:rPr>
        <w:t>projeções dos fluxos de caixa</w:t>
      </w:r>
      <w:r w:rsidRPr="005F333A">
        <w:t xml:space="preserve"> devem cobrir um período adequado à vida económica do projeto (vida útil do ativo com duração mais extensa).</w:t>
      </w:r>
    </w:p>
    <w:p w14:paraId="39EC7DE0" w14:textId="77777777" w:rsidR="005F333A" w:rsidRPr="005F333A" w:rsidRDefault="005F333A" w:rsidP="005F333A">
      <w:pPr>
        <w:numPr>
          <w:ilvl w:val="0"/>
          <w:numId w:val="5"/>
        </w:numPr>
        <w:spacing w:before="120" w:line="360" w:lineRule="auto"/>
        <w:jc w:val="both"/>
      </w:pPr>
      <w:r w:rsidRPr="005F333A">
        <w:t xml:space="preserve">Quando </w:t>
      </w:r>
      <w:r w:rsidRPr="005F333A">
        <w:rPr>
          <w:b/>
          <w:bCs/>
        </w:rPr>
        <w:t>o IVA</w:t>
      </w:r>
      <w:r w:rsidRPr="005F333A">
        <w:t xml:space="preserve"> é recuperável/dedutível, deve ser excluído da análise (investimento, custos e receitas). Se, pelo contrário, o IVA não é recuperável/dedutível, deve o mesmo ser incluído na análise (investimento, custos e receitas).</w:t>
      </w:r>
    </w:p>
    <w:p w14:paraId="40A5C767" w14:textId="3FDFCEFC" w:rsidR="005F333A" w:rsidRDefault="005F333A" w:rsidP="005F333A">
      <w:pPr>
        <w:numPr>
          <w:ilvl w:val="0"/>
          <w:numId w:val="5"/>
        </w:numPr>
        <w:spacing w:before="120" w:line="360" w:lineRule="auto"/>
        <w:jc w:val="both"/>
      </w:pPr>
      <w:r w:rsidRPr="005F333A">
        <w:t xml:space="preserve">Os </w:t>
      </w:r>
      <w:r w:rsidRPr="005F333A">
        <w:rPr>
          <w:b/>
          <w:bCs/>
        </w:rPr>
        <w:t>impostos diretos (sobre o capital, rendimentos ou outros)</w:t>
      </w:r>
      <w:r w:rsidRPr="005F333A">
        <w:t xml:space="preserve"> são considerados apenas para a análise da sustentabilidade financeira e não para a análise da rentabilidade financeira, que é realizada antes de tais deduções fiscais. O racional subjacente a esta metodologia é evitar a complexidade e a diversidade das regras fiscais aplicáveis aos rendimentos de capitais nos diferentes Estados-Membros.</w:t>
      </w:r>
    </w:p>
    <w:p w14:paraId="0814799C" w14:textId="77777777" w:rsidR="005F333A" w:rsidRDefault="005F333A">
      <w:r>
        <w:br w:type="page"/>
      </w:r>
    </w:p>
    <w:p w14:paraId="32DF89C5" w14:textId="77777777" w:rsidR="005F333A" w:rsidRPr="005F333A" w:rsidRDefault="005F333A" w:rsidP="005F333A">
      <w:pPr>
        <w:spacing w:before="120" w:line="360" w:lineRule="auto"/>
        <w:jc w:val="both"/>
        <w:rPr>
          <w:i/>
          <w:iCs/>
        </w:rPr>
      </w:pPr>
      <w:bookmarkStart w:id="20" w:name="_Toc135994780"/>
      <w:r w:rsidRPr="005F333A">
        <w:rPr>
          <w:i/>
          <w:iCs/>
        </w:rPr>
        <w:lastRenderedPageBreak/>
        <w:t xml:space="preserve">Tabela </w:t>
      </w:r>
      <w:r w:rsidRPr="005F333A">
        <w:rPr>
          <w:i/>
          <w:iCs/>
        </w:rPr>
        <w:fldChar w:fldCharType="begin"/>
      </w:r>
      <w:r w:rsidRPr="005F333A">
        <w:rPr>
          <w:i/>
          <w:iCs/>
        </w:rPr>
        <w:instrText xml:space="preserve"> SEQ Tabela \* ARABIC </w:instrText>
      </w:r>
      <w:r w:rsidRPr="005F333A">
        <w:rPr>
          <w:i/>
          <w:iCs/>
        </w:rPr>
        <w:fldChar w:fldCharType="separate"/>
      </w:r>
      <w:r w:rsidRPr="005F333A">
        <w:rPr>
          <w:i/>
          <w:iCs/>
        </w:rPr>
        <w:t>2</w:t>
      </w:r>
      <w:r w:rsidRPr="005F333A">
        <w:fldChar w:fldCharType="end"/>
      </w:r>
      <w:r w:rsidRPr="005F333A">
        <w:rPr>
          <w:i/>
          <w:iCs/>
        </w:rPr>
        <w:t xml:space="preserve"> - Períodos de Referência por Sector</w:t>
      </w:r>
      <w:bookmarkEnd w:id="20"/>
    </w:p>
    <w:tbl>
      <w:tblPr>
        <w:tblStyle w:val="TabelacomGrelha"/>
        <w:tblW w:w="7230" w:type="dxa"/>
        <w:jc w:val="center"/>
        <w:tblBorders>
          <w:top w:val="none" w:sz="0" w:space="0" w:color="auto"/>
          <w:left w:val="none" w:sz="0" w:space="0" w:color="auto"/>
          <w:bottom w:val="single" w:sz="4" w:space="0" w:color="FFFFFF"/>
          <w:right w:val="none" w:sz="0" w:space="0" w:color="auto"/>
          <w:insideH w:val="single" w:sz="4" w:space="0" w:color="FFFFFF"/>
          <w:insideV w:val="none" w:sz="0" w:space="0" w:color="auto"/>
        </w:tblBorders>
        <w:tblLook w:val="04A0" w:firstRow="1" w:lastRow="0" w:firstColumn="1" w:lastColumn="0" w:noHBand="0" w:noVBand="1"/>
      </w:tblPr>
      <w:tblGrid>
        <w:gridCol w:w="3969"/>
        <w:gridCol w:w="3261"/>
      </w:tblGrid>
      <w:tr w:rsidR="005F333A" w:rsidRPr="005F333A" w14:paraId="56CD1EEC" w14:textId="77777777" w:rsidTr="001D647C">
        <w:trPr>
          <w:jc w:val="center"/>
        </w:trPr>
        <w:tc>
          <w:tcPr>
            <w:tcW w:w="3969" w:type="dxa"/>
            <w:shd w:val="clear" w:color="auto" w:fill="2F5496" w:themeFill="accent1" w:themeFillShade="BF"/>
            <w:vAlign w:val="center"/>
          </w:tcPr>
          <w:p w14:paraId="44B50BC1" w14:textId="77777777" w:rsidR="005F333A" w:rsidRPr="005F333A" w:rsidRDefault="005F333A" w:rsidP="005F333A">
            <w:pPr>
              <w:rPr>
                <w:b/>
              </w:rPr>
            </w:pPr>
            <w:r w:rsidRPr="005F333A">
              <w:rPr>
                <w:b/>
              </w:rPr>
              <w:t>Setor</w:t>
            </w:r>
          </w:p>
        </w:tc>
        <w:tc>
          <w:tcPr>
            <w:tcW w:w="3261" w:type="dxa"/>
            <w:shd w:val="clear" w:color="auto" w:fill="2F5496" w:themeFill="accent1" w:themeFillShade="BF"/>
            <w:vAlign w:val="center"/>
          </w:tcPr>
          <w:p w14:paraId="7090C600" w14:textId="77777777" w:rsidR="005F333A" w:rsidRPr="005F333A" w:rsidRDefault="005F333A" w:rsidP="005F333A">
            <w:pPr>
              <w:rPr>
                <w:b/>
              </w:rPr>
            </w:pPr>
            <w:r w:rsidRPr="005F333A">
              <w:rPr>
                <w:b/>
              </w:rPr>
              <w:t>Período de referência</w:t>
            </w:r>
          </w:p>
          <w:p w14:paraId="7D08D480" w14:textId="77777777" w:rsidR="005F333A" w:rsidRPr="005F333A" w:rsidRDefault="005F333A" w:rsidP="005F333A">
            <w:pPr>
              <w:rPr>
                <w:b/>
              </w:rPr>
            </w:pPr>
            <w:r w:rsidRPr="005F333A">
              <w:rPr>
                <w:b/>
              </w:rPr>
              <w:t>(anos)</w:t>
            </w:r>
          </w:p>
        </w:tc>
      </w:tr>
      <w:tr w:rsidR="005F333A" w:rsidRPr="005F333A" w14:paraId="19BB8D7B" w14:textId="77777777" w:rsidTr="001D647C">
        <w:trPr>
          <w:jc w:val="center"/>
        </w:trPr>
        <w:tc>
          <w:tcPr>
            <w:tcW w:w="3969" w:type="dxa"/>
            <w:shd w:val="clear" w:color="auto" w:fill="D9E2F3" w:themeFill="accent1" w:themeFillTint="33"/>
          </w:tcPr>
          <w:p w14:paraId="16281748" w14:textId="77777777" w:rsidR="005F333A" w:rsidRPr="005F333A" w:rsidRDefault="005F333A" w:rsidP="005F333A">
            <w:r w:rsidRPr="005F333A">
              <w:t>Transporte ferroviário</w:t>
            </w:r>
          </w:p>
        </w:tc>
        <w:tc>
          <w:tcPr>
            <w:tcW w:w="3261" w:type="dxa"/>
            <w:shd w:val="clear" w:color="auto" w:fill="D9E2F3" w:themeFill="accent1" w:themeFillTint="33"/>
          </w:tcPr>
          <w:p w14:paraId="1B11ECF1" w14:textId="77777777" w:rsidR="005F333A" w:rsidRPr="005F333A" w:rsidRDefault="005F333A" w:rsidP="005F333A">
            <w:r w:rsidRPr="005F333A">
              <w:t>30</w:t>
            </w:r>
          </w:p>
        </w:tc>
      </w:tr>
      <w:tr w:rsidR="005F333A" w:rsidRPr="005F333A" w14:paraId="019355F5" w14:textId="77777777" w:rsidTr="001D647C">
        <w:trPr>
          <w:jc w:val="center"/>
        </w:trPr>
        <w:tc>
          <w:tcPr>
            <w:tcW w:w="3969" w:type="dxa"/>
            <w:shd w:val="clear" w:color="auto" w:fill="D9E2F3" w:themeFill="accent1" w:themeFillTint="33"/>
          </w:tcPr>
          <w:p w14:paraId="4B2F5670" w14:textId="77777777" w:rsidR="005F333A" w:rsidRPr="005F333A" w:rsidRDefault="005F333A" w:rsidP="005F333A">
            <w:r w:rsidRPr="005F333A">
              <w:t>Transporte rodoviário</w:t>
            </w:r>
          </w:p>
        </w:tc>
        <w:tc>
          <w:tcPr>
            <w:tcW w:w="3261" w:type="dxa"/>
            <w:shd w:val="clear" w:color="auto" w:fill="D9E2F3" w:themeFill="accent1" w:themeFillTint="33"/>
          </w:tcPr>
          <w:p w14:paraId="7213EDB6" w14:textId="77777777" w:rsidR="005F333A" w:rsidRPr="005F333A" w:rsidRDefault="005F333A" w:rsidP="005F333A">
            <w:r w:rsidRPr="005F333A">
              <w:t>25-30</w:t>
            </w:r>
          </w:p>
        </w:tc>
      </w:tr>
      <w:tr w:rsidR="005F333A" w:rsidRPr="005F333A" w14:paraId="2965DE24" w14:textId="77777777" w:rsidTr="001D647C">
        <w:trPr>
          <w:jc w:val="center"/>
        </w:trPr>
        <w:tc>
          <w:tcPr>
            <w:tcW w:w="3969" w:type="dxa"/>
            <w:shd w:val="clear" w:color="auto" w:fill="D9E2F3" w:themeFill="accent1" w:themeFillTint="33"/>
          </w:tcPr>
          <w:p w14:paraId="0C554EC8" w14:textId="77777777" w:rsidR="005F333A" w:rsidRPr="005F333A" w:rsidRDefault="005F333A" w:rsidP="005F333A">
            <w:r w:rsidRPr="005F333A">
              <w:t>Portos e aeroportos</w:t>
            </w:r>
          </w:p>
        </w:tc>
        <w:tc>
          <w:tcPr>
            <w:tcW w:w="3261" w:type="dxa"/>
            <w:shd w:val="clear" w:color="auto" w:fill="D9E2F3" w:themeFill="accent1" w:themeFillTint="33"/>
          </w:tcPr>
          <w:p w14:paraId="3FBBF9AB" w14:textId="77777777" w:rsidR="005F333A" w:rsidRPr="005F333A" w:rsidRDefault="005F333A" w:rsidP="005F333A">
            <w:r w:rsidRPr="005F333A">
              <w:t>25</w:t>
            </w:r>
          </w:p>
        </w:tc>
      </w:tr>
      <w:tr w:rsidR="005F333A" w:rsidRPr="005F333A" w14:paraId="5753F5D4" w14:textId="77777777" w:rsidTr="001D647C">
        <w:trPr>
          <w:jc w:val="center"/>
        </w:trPr>
        <w:tc>
          <w:tcPr>
            <w:tcW w:w="3969" w:type="dxa"/>
            <w:shd w:val="clear" w:color="auto" w:fill="D9E2F3" w:themeFill="accent1" w:themeFillTint="33"/>
          </w:tcPr>
          <w:p w14:paraId="4407D21C" w14:textId="77777777" w:rsidR="005F333A" w:rsidRPr="005F333A" w:rsidRDefault="005F333A" w:rsidP="005F333A">
            <w:r w:rsidRPr="005F333A">
              <w:t>Transporte Urbano</w:t>
            </w:r>
          </w:p>
        </w:tc>
        <w:tc>
          <w:tcPr>
            <w:tcW w:w="3261" w:type="dxa"/>
            <w:shd w:val="clear" w:color="auto" w:fill="D9E2F3" w:themeFill="accent1" w:themeFillTint="33"/>
          </w:tcPr>
          <w:p w14:paraId="7B145D80" w14:textId="77777777" w:rsidR="005F333A" w:rsidRPr="005F333A" w:rsidRDefault="005F333A" w:rsidP="005F333A">
            <w:r w:rsidRPr="005F333A">
              <w:t>25-30</w:t>
            </w:r>
          </w:p>
        </w:tc>
      </w:tr>
      <w:tr w:rsidR="005F333A" w:rsidRPr="005F333A" w14:paraId="47CAB0D4" w14:textId="77777777" w:rsidTr="001D647C">
        <w:trPr>
          <w:jc w:val="center"/>
        </w:trPr>
        <w:tc>
          <w:tcPr>
            <w:tcW w:w="3969" w:type="dxa"/>
            <w:shd w:val="clear" w:color="auto" w:fill="D9E2F3" w:themeFill="accent1" w:themeFillTint="33"/>
          </w:tcPr>
          <w:p w14:paraId="4B0AA972" w14:textId="77777777" w:rsidR="005F333A" w:rsidRPr="005F333A" w:rsidRDefault="005F333A" w:rsidP="005F333A">
            <w:r w:rsidRPr="005F333A">
              <w:t>Abastecimento de água/saneamento</w:t>
            </w:r>
          </w:p>
        </w:tc>
        <w:tc>
          <w:tcPr>
            <w:tcW w:w="3261" w:type="dxa"/>
            <w:shd w:val="clear" w:color="auto" w:fill="D9E2F3" w:themeFill="accent1" w:themeFillTint="33"/>
          </w:tcPr>
          <w:p w14:paraId="731355AD" w14:textId="77777777" w:rsidR="005F333A" w:rsidRPr="005F333A" w:rsidRDefault="005F333A" w:rsidP="005F333A">
            <w:r w:rsidRPr="005F333A">
              <w:t>30</w:t>
            </w:r>
          </w:p>
        </w:tc>
      </w:tr>
      <w:tr w:rsidR="005F333A" w:rsidRPr="005F333A" w14:paraId="06D8A4AB" w14:textId="77777777" w:rsidTr="001D647C">
        <w:trPr>
          <w:jc w:val="center"/>
        </w:trPr>
        <w:tc>
          <w:tcPr>
            <w:tcW w:w="3969" w:type="dxa"/>
            <w:shd w:val="clear" w:color="auto" w:fill="D9E2F3" w:themeFill="accent1" w:themeFillTint="33"/>
          </w:tcPr>
          <w:p w14:paraId="45EE8CE8" w14:textId="77777777" w:rsidR="005F333A" w:rsidRPr="005F333A" w:rsidRDefault="005F333A" w:rsidP="005F333A">
            <w:r w:rsidRPr="005F333A">
              <w:t>Gestão de resíduos</w:t>
            </w:r>
          </w:p>
        </w:tc>
        <w:tc>
          <w:tcPr>
            <w:tcW w:w="3261" w:type="dxa"/>
            <w:shd w:val="clear" w:color="auto" w:fill="D9E2F3" w:themeFill="accent1" w:themeFillTint="33"/>
          </w:tcPr>
          <w:p w14:paraId="6BA07C97" w14:textId="77777777" w:rsidR="005F333A" w:rsidRPr="005F333A" w:rsidRDefault="005F333A" w:rsidP="005F333A">
            <w:r w:rsidRPr="005F333A">
              <w:t>25-30</w:t>
            </w:r>
          </w:p>
        </w:tc>
      </w:tr>
      <w:tr w:rsidR="005F333A" w:rsidRPr="005F333A" w14:paraId="13DCA814" w14:textId="77777777" w:rsidTr="001D647C">
        <w:trPr>
          <w:jc w:val="center"/>
        </w:trPr>
        <w:tc>
          <w:tcPr>
            <w:tcW w:w="3969" w:type="dxa"/>
            <w:shd w:val="clear" w:color="auto" w:fill="D9E2F3" w:themeFill="accent1" w:themeFillTint="33"/>
          </w:tcPr>
          <w:p w14:paraId="4031F8AE" w14:textId="77777777" w:rsidR="005F333A" w:rsidRPr="005F333A" w:rsidRDefault="005F333A" w:rsidP="005F333A">
            <w:r w:rsidRPr="005F333A">
              <w:t>Energia</w:t>
            </w:r>
          </w:p>
        </w:tc>
        <w:tc>
          <w:tcPr>
            <w:tcW w:w="3261" w:type="dxa"/>
            <w:shd w:val="clear" w:color="auto" w:fill="D9E2F3" w:themeFill="accent1" w:themeFillTint="33"/>
          </w:tcPr>
          <w:p w14:paraId="581E0CC4" w14:textId="77777777" w:rsidR="005F333A" w:rsidRPr="005F333A" w:rsidRDefault="005F333A" w:rsidP="005F333A">
            <w:r w:rsidRPr="005F333A">
              <w:t>15-25</w:t>
            </w:r>
          </w:p>
        </w:tc>
      </w:tr>
      <w:tr w:rsidR="005F333A" w:rsidRPr="005F333A" w14:paraId="2FB55052" w14:textId="77777777" w:rsidTr="001D647C">
        <w:trPr>
          <w:jc w:val="center"/>
        </w:trPr>
        <w:tc>
          <w:tcPr>
            <w:tcW w:w="3969" w:type="dxa"/>
            <w:shd w:val="clear" w:color="auto" w:fill="D9E2F3" w:themeFill="accent1" w:themeFillTint="33"/>
          </w:tcPr>
          <w:p w14:paraId="1328B7D2" w14:textId="77777777" w:rsidR="005F333A" w:rsidRPr="005F333A" w:rsidRDefault="005F333A" w:rsidP="005F333A">
            <w:r w:rsidRPr="005F333A">
              <w:t>Banda larga</w:t>
            </w:r>
          </w:p>
        </w:tc>
        <w:tc>
          <w:tcPr>
            <w:tcW w:w="3261" w:type="dxa"/>
            <w:shd w:val="clear" w:color="auto" w:fill="D9E2F3" w:themeFill="accent1" w:themeFillTint="33"/>
          </w:tcPr>
          <w:p w14:paraId="1C20C1BE" w14:textId="77777777" w:rsidR="005F333A" w:rsidRPr="005F333A" w:rsidRDefault="005F333A" w:rsidP="005F333A">
            <w:r w:rsidRPr="005F333A">
              <w:t>15-20</w:t>
            </w:r>
          </w:p>
        </w:tc>
      </w:tr>
      <w:tr w:rsidR="005F333A" w:rsidRPr="005F333A" w14:paraId="26C42D8E" w14:textId="77777777" w:rsidTr="001D647C">
        <w:trPr>
          <w:jc w:val="center"/>
        </w:trPr>
        <w:tc>
          <w:tcPr>
            <w:tcW w:w="3969" w:type="dxa"/>
            <w:shd w:val="clear" w:color="auto" w:fill="D9E2F3" w:themeFill="accent1" w:themeFillTint="33"/>
          </w:tcPr>
          <w:p w14:paraId="59D71967" w14:textId="77777777" w:rsidR="005F333A" w:rsidRPr="005F333A" w:rsidRDefault="005F333A" w:rsidP="005F333A">
            <w:r w:rsidRPr="005F333A">
              <w:t>Investigação e inovação</w:t>
            </w:r>
          </w:p>
        </w:tc>
        <w:tc>
          <w:tcPr>
            <w:tcW w:w="3261" w:type="dxa"/>
            <w:shd w:val="clear" w:color="auto" w:fill="D9E2F3" w:themeFill="accent1" w:themeFillTint="33"/>
          </w:tcPr>
          <w:p w14:paraId="2BF6666D" w14:textId="77777777" w:rsidR="005F333A" w:rsidRPr="005F333A" w:rsidRDefault="005F333A" w:rsidP="005F333A">
            <w:r w:rsidRPr="005F333A">
              <w:t>15-25</w:t>
            </w:r>
          </w:p>
        </w:tc>
      </w:tr>
      <w:tr w:rsidR="005F333A" w:rsidRPr="005F333A" w14:paraId="101F83CE" w14:textId="77777777" w:rsidTr="001D647C">
        <w:trPr>
          <w:jc w:val="center"/>
        </w:trPr>
        <w:tc>
          <w:tcPr>
            <w:tcW w:w="3969" w:type="dxa"/>
            <w:shd w:val="clear" w:color="auto" w:fill="D9E2F3" w:themeFill="accent1" w:themeFillTint="33"/>
          </w:tcPr>
          <w:p w14:paraId="4F145EC7" w14:textId="77777777" w:rsidR="005F333A" w:rsidRPr="005F333A" w:rsidRDefault="005F333A" w:rsidP="005F333A">
            <w:r w:rsidRPr="005F333A">
              <w:t>Infraestrutura empresaria</w:t>
            </w:r>
          </w:p>
        </w:tc>
        <w:tc>
          <w:tcPr>
            <w:tcW w:w="3261" w:type="dxa"/>
            <w:shd w:val="clear" w:color="auto" w:fill="D9E2F3" w:themeFill="accent1" w:themeFillTint="33"/>
          </w:tcPr>
          <w:p w14:paraId="5B84C8FD" w14:textId="77777777" w:rsidR="005F333A" w:rsidRPr="005F333A" w:rsidRDefault="005F333A" w:rsidP="005F333A">
            <w:r w:rsidRPr="005F333A">
              <w:t>10-15</w:t>
            </w:r>
          </w:p>
        </w:tc>
      </w:tr>
      <w:tr w:rsidR="005F333A" w:rsidRPr="005F333A" w14:paraId="24E8E771" w14:textId="77777777" w:rsidTr="001D647C">
        <w:trPr>
          <w:jc w:val="center"/>
        </w:trPr>
        <w:tc>
          <w:tcPr>
            <w:tcW w:w="3969" w:type="dxa"/>
            <w:shd w:val="clear" w:color="auto" w:fill="D9E2F3" w:themeFill="accent1" w:themeFillTint="33"/>
          </w:tcPr>
          <w:p w14:paraId="24102CE9" w14:textId="77777777" w:rsidR="005F333A" w:rsidRPr="005F333A" w:rsidRDefault="005F333A" w:rsidP="005F333A">
            <w:r w:rsidRPr="005F333A">
              <w:t>Outros sectores</w:t>
            </w:r>
          </w:p>
        </w:tc>
        <w:tc>
          <w:tcPr>
            <w:tcW w:w="3261" w:type="dxa"/>
            <w:shd w:val="clear" w:color="auto" w:fill="D9E2F3" w:themeFill="accent1" w:themeFillTint="33"/>
          </w:tcPr>
          <w:p w14:paraId="1B97AD87" w14:textId="77777777" w:rsidR="005F333A" w:rsidRPr="005F333A" w:rsidRDefault="005F333A" w:rsidP="005F333A">
            <w:r w:rsidRPr="005F333A">
              <w:t>10-15</w:t>
            </w:r>
          </w:p>
        </w:tc>
      </w:tr>
      <w:tr w:rsidR="005F333A" w:rsidRPr="00B863B8" w14:paraId="224D9AB9" w14:textId="77777777" w:rsidTr="001D647C">
        <w:trPr>
          <w:jc w:val="center"/>
        </w:trPr>
        <w:tc>
          <w:tcPr>
            <w:tcW w:w="7230" w:type="dxa"/>
            <w:gridSpan w:val="2"/>
            <w:shd w:val="clear" w:color="auto" w:fill="auto"/>
          </w:tcPr>
          <w:p w14:paraId="160393E6" w14:textId="77777777" w:rsidR="005F333A" w:rsidRPr="005F333A" w:rsidRDefault="005F333A" w:rsidP="005F333A">
            <w:pPr>
              <w:rPr>
                <w:lang w:val="en-GB"/>
              </w:rPr>
            </w:pPr>
            <w:r w:rsidRPr="005F333A">
              <w:rPr>
                <w:lang w:val="en-GB"/>
              </w:rPr>
              <w:t>Fonte: “</w:t>
            </w:r>
            <w:r w:rsidRPr="005F333A">
              <w:rPr>
                <w:i/>
                <w:iCs/>
                <w:lang w:val="en-GB"/>
              </w:rPr>
              <w:t xml:space="preserve">Guide to Cost-Benefit Analysis of Investment Projects – December 2014” – </w:t>
            </w:r>
            <w:proofErr w:type="spellStart"/>
            <w:r w:rsidRPr="005F333A">
              <w:rPr>
                <w:i/>
                <w:iCs/>
                <w:lang w:val="en-GB"/>
              </w:rPr>
              <w:t>Comissão</w:t>
            </w:r>
            <w:proofErr w:type="spellEnd"/>
            <w:r w:rsidRPr="005F333A">
              <w:rPr>
                <w:i/>
                <w:iCs/>
                <w:lang w:val="en-GB"/>
              </w:rPr>
              <w:t xml:space="preserve"> </w:t>
            </w:r>
            <w:proofErr w:type="spellStart"/>
            <w:r w:rsidRPr="005F333A">
              <w:rPr>
                <w:i/>
                <w:iCs/>
                <w:lang w:val="en-GB"/>
              </w:rPr>
              <w:t>Europeia</w:t>
            </w:r>
            <w:proofErr w:type="spellEnd"/>
          </w:p>
        </w:tc>
      </w:tr>
    </w:tbl>
    <w:p w14:paraId="51BC09CF" w14:textId="77777777" w:rsidR="005F333A" w:rsidRPr="006258F1" w:rsidRDefault="005F333A" w:rsidP="005F333A">
      <w:pPr>
        <w:rPr>
          <w:i/>
          <w:iCs/>
          <w:lang w:val="en-US"/>
        </w:rPr>
      </w:pPr>
      <w:bookmarkStart w:id="21" w:name="_Toc135994796"/>
    </w:p>
    <w:p w14:paraId="3312C8CC" w14:textId="77777777" w:rsidR="005F333A" w:rsidRPr="006258F1" w:rsidRDefault="005F333A" w:rsidP="005F333A">
      <w:pPr>
        <w:rPr>
          <w:i/>
          <w:iCs/>
          <w:lang w:val="en-US"/>
        </w:rPr>
      </w:pPr>
    </w:p>
    <w:p w14:paraId="5D4B5608" w14:textId="35D12204" w:rsidR="005F333A" w:rsidRPr="005F333A" w:rsidRDefault="005F333A" w:rsidP="005F333A">
      <w:pPr>
        <w:rPr>
          <w:b/>
          <w:bCs/>
          <w:i/>
          <w:iCs/>
        </w:rPr>
      </w:pPr>
      <w:r w:rsidRPr="005F333A">
        <w:rPr>
          <w:i/>
          <w:iCs/>
        </w:rPr>
        <w:t xml:space="preserve">Figura </w:t>
      </w:r>
      <w:r w:rsidRPr="005F333A">
        <w:rPr>
          <w:i/>
          <w:iCs/>
        </w:rPr>
        <w:fldChar w:fldCharType="begin"/>
      </w:r>
      <w:r w:rsidRPr="005F333A">
        <w:rPr>
          <w:i/>
          <w:iCs/>
        </w:rPr>
        <w:instrText xml:space="preserve"> SEQ Figura \* ARABIC </w:instrText>
      </w:r>
      <w:r w:rsidRPr="005F333A">
        <w:rPr>
          <w:i/>
          <w:iCs/>
        </w:rPr>
        <w:fldChar w:fldCharType="separate"/>
      </w:r>
      <w:r w:rsidRPr="005F333A">
        <w:rPr>
          <w:i/>
          <w:iCs/>
        </w:rPr>
        <w:t>1</w:t>
      </w:r>
      <w:r w:rsidRPr="005F333A">
        <w:fldChar w:fldCharType="end"/>
      </w:r>
      <w:r w:rsidRPr="005F333A">
        <w:rPr>
          <w:i/>
          <w:iCs/>
        </w:rPr>
        <w:t xml:space="preserve"> - Estrutura da Análise Financeira</w:t>
      </w:r>
      <w:bookmarkEnd w:id="21"/>
    </w:p>
    <w:p w14:paraId="2E30578F" w14:textId="77777777" w:rsidR="005F333A" w:rsidRPr="005F333A" w:rsidRDefault="005F333A" w:rsidP="005F333A">
      <w:pPr>
        <w:rPr>
          <w:b/>
          <w:bCs/>
        </w:rPr>
      </w:pPr>
      <w:r w:rsidRPr="005F333A">
        <w:rPr>
          <w:b/>
          <w:bCs/>
          <w:noProof/>
        </w:rPr>
        <w:drawing>
          <wp:inline distT="0" distB="0" distL="0" distR="0" wp14:anchorId="7DFC5D59" wp14:editId="55961053">
            <wp:extent cx="4914000" cy="1731600"/>
            <wp:effectExtent l="0" t="0" r="1270" b="2540"/>
            <wp:docPr id="2005144053" name="Imagem 11" descr="Uma imagem com texto, file, captura de ecrã, 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144053" name="Imagem 11" descr="Uma imagem com texto, file, captura de ecrã, diagrama&#10;&#10;Descrição gerada automaticamen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14000" cy="1731600"/>
                    </a:xfrm>
                    <a:prstGeom prst="rect">
                      <a:avLst/>
                    </a:prstGeom>
                    <a:noFill/>
                    <a:ln>
                      <a:noFill/>
                    </a:ln>
                  </pic:spPr>
                </pic:pic>
              </a:graphicData>
            </a:graphic>
          </wp:inline>
        </w:drawing>
      </w:r>
    </w:p>
    <w:p w14:paraId="0F9BDCF2" w14:textId="77777777" w:rsidR="005F333A" w:rsidRPr="005F333A" w:rsidRDefault="005F333A" w:rsidP="005F333A">
      <w:r w:rsidRPr="005F333A">
        <w:t>Fonte: Informação adaptada de “</w:t>
      </w:r>
      <w:r w:rsidRPr="005F333A">
        <w:rPr>
          <w:i/>
          <w:iCs/>
        </w:rPr>
        <w:t xml:space="preserve">Guide to </w:t>
      </w:r>
      <w:proofErr w:type="spellStart"/>
      <w:r w:rsidRPr="005F333A">
        <w:rPr>
          <w:i/>
          <w:iCs/>
        </w:rPr>
        <w:t>Cost-Benefit</w:t>
      </w:r>
      <w:proofErr w:type="spellEnd"/>
      <w:r w:rsidRPr="005F333A">
        <w:rPr>
          <w:i/>
          <w:iCs/>
        </w:rPr>
        <w:t xml:space="preserve"> </w:t>
      </w:r>
      <w:proofErr w:type="spellStart"/>
      <w:r w:rsidRPr="005F333A">
        <w:rPr>
          <w:i/>
          <w:iCs/>
        </w:rPr>
        <w:t>Analysis</w:t>
      </w:r>
      <w:proofErr w:type="spellEnd"/>
      <w:r w:rsidRPr="005F333A">
        <w:rPr>
          <w:i/>
          <w:iCs/>
        </w:rPr>
        <w:t xml:space="preserve"> </w:t>
      </w:r>
      <w:proofErr w:type="spellStart"/>
      <w:r w:rsidRPr="005F333A">
        <w:rPr>
          <w:i/>
          <w:iCs/>
        </w:rPr>
        <w:t>of</w:t>
      </w:r>
      <w:proofErr w:type="spellEnd"/>
      <w:r w:rsidRPr="005F333A">
        <w:rPr>
          <w:i/>
          <w:iCs/>
        </w:rPr>
        <w:t xml:space="preserve"> </w:t>
      </w:r>
      <w:proofErr w:type="spellStart"/>
      <w:r w:rsidRPr="005F333A">
        <w:rPr>
          <w:i/>
          <w:iCs/>
        </w:rPr>
        <w:t>Investment</w:t>
      </w:r>
      <w:proofErr w:type="spellEnd"/>
      <w:r w:rsidRPr="005F333A">
        <w:rPr>
          <w:i/>
          <w:iCs/>
        </w:rPr>
        <w:t xml:space="preserve"> </w:t>
      </w:r>
      <w:proofErr w:type="spellStart"/>
      <w:r w:rsidRPr="005F333A">
        <w:rPr>
          <w:i/>
          <w:iCs/>
        </w:rPr>
        <w:t>Projects</w:t>
      </w:r>
      <w:proofErr w:type="spellEnd"/>
      <w:r w:rsidRPr="005F333A">
        <w:rPr>
          <w:i/>
          <w:iCs/>
        </w:rPr>
        <w:t xml:space="preserve"> – </w:t>
      </w:r>
      <w:proofErr w:type="spellStart"/>
      <w:r w:rsidRPr="005F333A">
        <w:rPr>
          <w:i/>
          <w:iCs/>
        </w:rPr>
        <w:t>December</w:t>
      </w:r>
      <w:proofErr w:type="spellEnd"/>
      <w:r w:rsidRPr="005F333A">
        <w:rPr>
          <w:i/>
          <w:iCs/>
        </w:rPr>
        <w:t xml:space="preserve"> 2014</w:t>
      </w:r>
      <w:r w:rsidRPr="005F333A">
        <w:t>” – Comissão Europeia.</w:t>
      </w:r>
    </w:p>
    <w:p w14:paraId="6977FB24" w14:textId="77777777" w:rsidR="005F333A" w:rsidRPr="005F333A" w:rsidRDefault="005F333A" w:rsidP="005F333A">
      <w:r w:rsidRPr="005F333A">
        <w:t xml:space="preserve">* A análise da rendibilidade do capital não é exigível para projetos com um investimento elegível inferior a 50 milhões de euros. </w:t>
      </w:r>
    </w:p>
    <w:p w14:paraId="3AEA7C01" w14:textId="148A03E8" w:rsidR="005F333A" w:rsidRDefault="005F333A">
      <w:pPr>
        <w:rPr>
          <w:i/>
          <w:iCs/>
        </w:rPr>
      </w:pPr>
      <w:r>
        <w:rPr>
          <w:i/>
          <w:iCs/>
        </w:rPr>
        <w:br w:type="page"/>
      </w:r>
    </w:p>
    <w:p w14:paraId="0DC49188" w14:textId="77777777" w:rsidR="005F333A" w:rsidRPr="005F333A" w:rsidRDefault="005F333A" w:rsidP="005F333A">
      <w:pPr>
        <w:rPr>
          <w:i/>
          <w:iCs/>
        </w:rPr>
      </w:pPr>
    </w:p>
    <w:p w14:paraId="50A409BB" w14:textId="77777777" w:rsidR="005F333A" w:rsidRPr="005F333A" w:rsidRDefault="005F333A" w:rsidP="005F333A">
      <w:pPr>
        <w:rPr>
          <w:i/>
          <w:iCs/>
        </w:rPr>
      </w:pPr>
      <w:bookmarkStart w:id="22" w:name="_Toc135994781"/>
      <w:r w:rsidRPr="005F333A">
        <w:rPr>
          <w:i/>
          <w:iCs/>
        </w:rPr>
        <w:t xml:space="preserve">Tabela </w:t>
      </w:r>
      <w:r w:rsidRPr="005F333A">
        <w:rPr>
          <w:i/>
          <w:iCs/>
        </w:rPr>
        <w:fldChar w:fldCharType="begin"/>
      </w:r>
      <w:r w:rsidRPr="005F333A">
        <w:rPr>
          <w:i/>
          <w:iCs/>
        </w:rPr>
        <w:instrText xml:space="preserve"> SEQ Tabela \* ARABIC </w:instrText>
      </w:r>
      <w:r w:rsidRPr="005F333A">
        <w:rPr>
          <w:i/>
          <w:iCs/>
        </w:rPr>
        <w:fldChar w:fldCharType="separate"/>
      </w:r>
      <w:r w:rsidRPr="005F333A">
        <w:rPr>
          <w:i/>
          <w:iCs/>
        </w:rPr>
        <w:t>3</w:t>
      </w:r>
      <w:r w:rsidRPr="005F333A">
        <w:fldChar w:fldCharType="end"/>
      </w:r>
      <w:r w:rsidRPr="005F333A">
        <w:rPr>
          <w:i/>
          <w:iCs/>
        </w:rPr>
        <w:t xml:space="preserve"> - Síntese da Análise Financeira</w:t>
      </w:r>
      <w:bookmarkEnd w:id="22"/>
    </w:p>
    <w:tbl>
      <w:tblPr>
        <w:tblStyle w:val="TabelacomGrelha"/>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3686"/>
        <w:gridCol w:w="1418"/>
        <w:gridCol w:w="1418"/>
      </w:tblGrid>
      <w:tr w:rsidR="005F333A" w:rsidRPr="005F333A" w14:paraId="285AD13C" w14:textId="77777777" w:rsidTr="001D647C">
        <w:trPr>
          <w:jc w:val="center"/>
        </w:trPr>
        <w:tc>
          <w:tcPr>
            <w:tcW w:w="3686" w:type="dxa"/>
            <w:tcBorders>
              <w:bottom w:val="single" w:sz="4" w:space="0" w:color="FFFFFF"/>
            </w:tcBorders>
            <w:shd w:val="clear" w:color="auto" w:fill="2F5496" w:themeFill="accent1" w:themeFillShade="BF"/>
            <w:vAlign w:val="center"/>
          </w:tcPr>
          <w:p w14:paraId="40161CD5" w14:textId="77777777" w:rsidR="005F333A" w:rsidRPr="005F333A" w:rsidRDefault="005F333A" w:rsidP="005F333A">
            <w:pPr>
              <w:rPr>
                <w:b/>
              </w:rPr>
            </w:pPr>
          </w:p>
          <w:p w14:paraId="2B5CDF50" w14:textId="77777777" w:rsidR="005F333A" w:rsidRPr="005F333A" w:rsidRDefault="005F333A" w:rsidP="005F333A">
            <w:pPr>
              <w:rPr>
                <w:b/>
              </w:rPr>
            </w:pPr>
          </w:p>
        </w:tc>
        <w:tc>
          <w:tcPr>
            <w:tcW w:w="1418" w:type="dxa"/>
            <w:tcBorders>
              <w:bottom w:val="single" w:sz="4" w:space="0" w:color="FFFFFF"/>
            </w:tcBorders>
            <w:shd w:val="clear" w:color="auto" w:fill="2F5496" w:themeFill="accent1" w:themeFillShade="BF"/>
            <w:vAlign w:val="center"/>
          </w:tcPr>
          <w:p w14:paraId="24EFC1ED" w14:textId="77777777" w:rsidR="005F333A" w:rsidRPr="005F333A" w:rsidRDefault="005F333A" w:rsidP="005F333A">
            <w:pPr>
              <w:rPr>
                <w:b/>
              </w:rPr>
            </w:pPr>
            <w:r w:rsidRPr="005F333A">
              <w:rPr>
                <w:b/>
              </w:rPr>
              <w:t>Rentabilidade financeira do investimento</w:t>
            </w:r>
          </w:p>
        </w:tc>
        <w:tc>
          <w:tcPr>
            <w:tcW w:w="1418" w:type="dxa"/>
            <w:tcBorders>
              <w:bottom w:val="single" w:sz="4" w:space="0" w:color="FFFFFF"/>
            </w:tcBorders>
            <w:shd w:val="clear" w:color="auto" w:fill="2F5496" w:themeFill="accent1" w:themeFillShade="BF"/>
            <w:vAlign w:val="center"/>
          </w:tcPr>
          <w:p w14:paraId="1CEF6DFA" w14:textId="77777777" w:rsidR="005F333A" w:rsidRPr="005F333A" w:rsidRDefault="005F333A" w:rsidP="005F333A">
            <w:pPr>
              <w:rPr>
                <w:b/>
              </w:rPr>
            </w:pPr>
            <w:r w:rsidRPr="005F333A">
              <w:rPr>
                <w:b/>
              </w:rPr>
              <w:t>Sustentabilidade financeira</w:t>
            </w:r>
          </w:p>
        </w:tc>
      </w:tr>
      <w:tr w:rsidR="005F333A" w:rsidRPr="005F333A" w14:paraId="175DCE61" w14:textId="77777777" w:rsidTr="001D647C">
        <w:trPr>
          <w:jc w:val="center"/>
        </w:trPr>
        <w:tc>
          <w:tcPr>
            <w:tcW w:w="3686" w:type="dxa"/>
            <w:shd w:val="clear" w:color="auto" w:fill="8EAADB" w:themeFill="accent1" w:themeFillTint="99"/>
            <w:vAlign w:val="center"/>
          </w:tcPr>
          <w:p w14:paraId="3F19B43A" w14:textId="77777777" w:rsidR="005F333A" w:rsidRPr="005F333A" w:rsidRDefault="005F333A" w:rsidP="005F333A">
            <w:pPr>
              <w:rPr>
                <w:b/>
              </w:rPr>
            </w:pPr>
            <w:r w:rsidRPr="005F333A">
              <w:rPr>
                <w:b/>
              </w:rPr>
              <w:t>CUSTOS DE INVESTIMENTO</w:t>
            </w:r>
          </w:p>
        </w:tc>
        <w:tc>
          <w:tcPr>
            <w:tcW w:w="1418" w:type="dxa"/>
            <w:shd w:val="clear" w:color="auto" w:fill="8EAADB" w:themeFill="accent1" w:themeFillTint="99"/>
            <w:vAlign w:val="center"/>
          </w:tcPr>
          <w:p w14:paraId="5823EF35" w14:textId="77777777" w:rsidR="005F333A" w:rsidRPr="005F333A" w:rsidRDefault="005F333A" w:rsidP="005F333A">
            <w:pPr>
              <w:rPr>
                <w:bCs/>
              </w:rPr>
            </w:pPr>
          </w:p>
        </w:tc>
        <w:tc>
          <w:tcPr>
            <w:tcW w:w="1418" w:type="dxa"/>
            <w:shd w:val="clear" w:color="auto" w:fill="8EAADB" w:themeFill="accent1" w:themeFillTint="99"/>
            <w:vAlign w:val="center"/>
          </w:tcPr>
          <w:p w14:paraId="759CB1CC" w14:textId="77777777" w:rsidR="005F333A" w:rsidRPr="005F333A" w:rsidRDefault="005F333A" w:rsidP="005F333A">
            <w:pPr>
              <w:rPr>
                <w:bCs/>
              </w:rPr>
            </w:pPr>
          </w:p>
        </w:tc>
      </w:tr>
      <w:tr w:rsidR="005F333A" w:rsidRPr="005F333A" w14:paraId="341EFDD2" w14:textId="77777777" w:rsidTr="001D647C">
        <w:trPr>
          <w:jc w:val="center"/>
        </w:trPr>
        <w:tc>
          <w:tcPr>
            <w:tcW w:w="3686" w:type="dxa"/>
            <w:tcBorders>
              <w:bottom w:val="single" w:sz="4" w:space="0" w:color="FFFFFF"/>
            </w:tcBorders>
            <w:shd w:val="clear" w:color="auto" w:fill="D9E2F3" w:themeFill="accent1" w:themeFillTint="33"/>
            <w:vAlign w:val="center"/>
          </w:tcPr>
          <w:p w14:paraId="04C32F0A" w14:textId="77777777" w:rsidR="005F333A" w:rsidRPr="005F333A" w:rsidRDefault="005F333A" w:rsidP="005F333A">
            <w:pPr>
              <w:rPr>
                <w:bCs/>
              </w:rPr>
            </w:pPr>
            <w:bookmarkStart w:id="23" w:name="_Hlk132388455"/>
            <w:r w:rsidRPr="005F333A">
              <w:rPr>
                <w:bCs/>
              </w:rPr>
              <w:t>Custos de preparação, assistência técnica</w:t>
            </w:r>
          </w:p>
        </w:tc>
        <w:tc>
          <w:tcPr>
            <w:tcW w:w="1418" w:type="dxa"/>
            <w:tcBorders>
              <w:bottom w:val="single" w:sz="4" w:space="0" w:color="FFFFFF"/>
            </w:tcBorders>
            <w:shd w:val="clear" w:color="auto" w:fill="D9E2F3" w:themeFill="accent1" w:themeFillTint="33"/>
            <w:vAlign w:val="center"/>
          </w:tcPr>
          <w:p w14:paraId="4EF05744" w14:textId="77777777" w:rsidR="005F333A" w:rsidRPr="005F333A" w:rsidRDefault="005F333A" w:rsidP="005F333A">
            <w:pPr>
              <w:rPr>
                <w:b/>
              </w:rPr>
            </w:pPr>
            <w:r w:rsidRPr="005F333A">
              <w:rPr>
                <w:b/>
              </w:rPr>
              <w:t>-</w:t>
            </w:r>
          </w:p>
        </w:tc>
        <w:tc>
          <w:tcPr>
            <w:tcW w:w="1418" w:type="dxa"/>
            <w:tcBorders>
              <w:bottom w:val="single" w:sz="4" w:space="0" w:color="FFFFFF"/>
            </w:tcBorders>
            <w:shd w:val="clear" w:color="auto" w:fill="D9E2F3" w:themeFill="accent1" w:themeFillTint="33"/>
            <w:vAlign w:val="center"/>
          </w:tcPr>
          <w:p w14:paraId="7550B43A" w14:textId="77777777" w:rsidR="005F333A" w:rsidRPr="005F333A" w:rsidRDefault="005F333A" w:rsidP="005F333A">
            <w:pPr>
              <w:rPr>
                <w:b/>
              </w:rPr>
            </w:pPr>
            <w:r w:rsidRPr="005F333A">
              <w:rPr>
                <w:b/>
              </w:rPr>
              <w:t>-</w:t>
            </w:r>
          </w:p>
        </w:tc>
      </w:tr>
      <w:tr w:rsidR="005F333A" w:rsidRPr="005F333A" w14:paraId="76F524C1" w14:textId="77777777" w:rsidTr="001D647C">
        <w:trPr>
          <w:jc w:val="center"/>
        </w:trPr>
        <w:tc>
          <w:tcPr>
            <w:tcW w:w="3686" w:type="dxa"/>
            <w:shd w:val="clear" w:color="auto" w:fill="D9E2F3" w:themeFill="accent1" w:themeFillTint="33"/>
            <w:vAlign w:val="center"/>
          </w:tcPr>
          <w:p w14:paraId="23FC38BB" w14:textId="77777777" w:rsidR="005F333A" w:rsidRPr="005F333A" w:rsidRDefault="005F333A" w:rsidP="005F333A">
            <w:pPr>
              <w:rPr>
                <w:bCs/>
              </w:rPr>
            </w:pPr>
            <w:bookmarkStart w:id="24" w:name="_Hlk132388474"/>
            <w:r w:rsidRPr="005F333A">
              <w:rPr>
                <w:bCs/>
              </w:rPr>
              <w:t>Terrenos</w:t>
            </w:r>
          </w:p>
        </w:tc>
        <w:tc>
          <w:tcPr>
            <w:tcW w:w="1418" w:type="dxa"/>
            <w:shd w:val="clear" w:color="auto" w:fill="D9E2F3" w:themeFill="accent1" w:themeFillTint="33"/>
            <w:vAlign w:val="center"/>
          </w:tcPr>
          <w:p w14:paraId="1E1936CD" w14:textId="77777777" w:rsidR="005F333A" w:rsidRPr="005F333A" w:rsidRDefault="005F333A" w:rsidP="005F333A">
            <w:pPr>
              <w:rPr>
                <w:b/>
              </w:rPr>
            </w:pPr>
            <w:r w:rsidRPr="005F333A">
              <w:rPr>
                <w:b/>
              </w:rPr>
              <w:t>-</w:t>
            </w:r>
          </w:p>
        </w:tc>
        <w:tc>
          <w:tcPr>
            <w:tcW w:w="1418" w:type="dxa"/>
            <w:shd w:val="clear" w:color="auto" w:fill="D9E2F3" w:themeFill="accent1" w:themeFillTint="33"/>
            <w:vAlign w:val="center"/>
          </w:tcPr>
          <w:p w14:paraId="48581A48" w14:textId="77777777" w:rsidR="005F333A" w:rsidRPr="005F333A" w:rsidRDefault="005F333A" w:rsidP="005F333A">
            <w:pPr>
              <w:rPr>
                <w:b/>
              </w:rPr>
            </w:pPr>
            <w:r w:rsidRPr="005F333A">
              <w:rPr>
                <w:b/>
              </w:rPr>
              <w:t>-</w:t>
            </w:r>
          </w:p>
        </w:tc>
      </w:tr>
      <w:tr w:rsidR="005F333A" w:rsidRPr="005F333A" w14:paraId="09B1029E" w14:textId="77777777" w:rsidTr="001D647C">
        <w:trPr>
          <w:jc w:val="center"/>
        </w:trPr>
        <w:tc>
          <w:tcPr>
            <w:tcW w:w="3686" w:type="dxa"/>
            <w:shd w:val="clear" w:color="auto" w:fill="D9E2F3" w:themeFill="accent1" w:themeFillTint="33"/>
            <w:vAlign w:val="center"/>
          </w:tcPr>
          <w:p w14:paraId="358FEFD5" w14:textId="77777777" w:rsidR="005F333A" w:rsidRPr="005F333A" w:rsidRDefault="005F333A" w:rsidP="005F333A">
            <w:pPr>
              <w:rPr>
                <w:bCs/>
              </w:rPr>
            </w:pPr>
            <w:r w:rsidRPr="005F333A">
              <w:rPr>
                <w:bCs/>
              </w:rPr>
              <w:t>Edifícios e outras construções</w:t>
            </w:r>
          </w:p>
        </w:tc>
        <w:tc>
          <w:tcPr>
            <w:tcW w:w="1418" w:type="dxa"/>
            <w:shd w:val="clear" w:color="auto" w:fill="D9E2F3" w:themeFill="accent1" w:themeFillTint="33"/>
            <w:vAlign w:val="center"/>
          </w:tcPr>
          <w:p w14:paraId="6DF0919F" w14:textId="77777777" w:rsidR="005F333A" w:rsidRPr="005F333A" w:rsidRDefault="005F333A" w:rsidP="005F333A">
            <w:pPr>
              <w:rPr>
                <w:b/>
              </w:rPr>
            </w:pPr>
            <w:r w:rsidRPr="005F333A">
              <w:rPr>
                <w:b/>
              </w:rPr>
              <w:t>-</w:t>
            </w:r>
          </w:p>
        </w:tc>
        <w:tc>
          <w:tcPr>
            <w:tcW w:w="1418" w:type="dxa"/>
            <w:shd w:val="clear" w:color="auto" w:fill="D9E2F3" w:themeFill="accent1" w:themeFillTint="33"/>
            <w:vAlign w:val="center"/>
          </w:tcPr>
          <w:p w14:paraId="410F7966" w14:textId="77777777" w:rsidR="005F333A" w:rsidRPr="005F333A" w:rsidRDefault="005F333A" w:rsidP="005F333A">
            <w:pPr>
              <w:rPr>
                <w:b/>
              </w:rPr>
            </w:pPr>
            <w:r w:rsidRPr="005F333A">
              <w:rPr>
                <w:b/>
              </w:rPr>
              <w:t>-</w:t>
            </w:r>
          </w:p>
        </w:tc>
      </w:tr>
      <w:tr w:rsidR="005F333A" w:rsidRPr="005F333A" w14:paraId="573706DC" w14:textId="77777777" w:rsidTr="001D647C">
        <w:trPr>
          <w:jc w:val="center"/>
        </w:trPr>
        <w:tc>
          <w:tcPr>
            <w:tcW w:w="3686" w:type="dxa"/>
            <w:shd w:val="clear" w:color="auto" w:fill="D9E2F3" w:themeFill="accent1" w:themeFillTint="33"/>
            <w:vAlign w:val="center"/>
          </w:tcPr>
          <w:p w14:paraId="66BE2297" w14:textId="77777777" w:rsidR="005F333A" w:rsidRPr="005F333A" w:rsidRDefault="005F333A" w:rsidP="005F333A">
            <w:pPr>
              <w:rPr>
                <w:bCs/>
              </w:rPr>
            </w:pPr>
            <w:r w:rsidRPr="005F333A">
              <w:rPr>
                <w:bCs/>
              </w:rPr>
              <w:t>Equipamento</w:t>
            </w:r>
          </w:p>
        </w:tc>
        <w:tc>
          <w:tcPr>
            <w:tcW w:w="1418" w:type="dxa"/>
            <w:shd w:val="clear" w:color="auto" w:fill="D9E2F3" w:themeFill="accent1" w:themeFillTint="33"/>
            <w:vAlign w:val="center"/>
          </w:tcPr>
          <w:p w14:paraId="2741E7BA" w14:textId="77777777" w:rsidR="005F333A" w:rsidRPr="005F333A" w:rsidRDefault="005F333A" w:rsidP="005F333A">
            <w:pPr>
              <w:rPr>
                <w:b/>
              </w:rPr>
            </w:pPr>
            <w:r w:rsidRPr="005F333A">
              <w:rPr>
                <w:b/>
              </w:rPr>
              <w:t>-</w:t>
            </w:r>
          </w:p>
        </w:tc>
        <w:tc>
          <w:tcPr>
            <w:tcW w:w="1418" w:type="dxa"/>
            <w:shd w:val="clear" w:color="auto" w:fill="D9E2F3" w:themeFill="accent1" w:themeFillTint="33"/>
            <w:vAlign w:val="center"/>
          </w:tcPr>
          <w:p w14:paraId="2663A17D" w14:textId="77777777" w:rsidR="005F333A" w:rsidRPr="005F333A" w:rsidRDefault="005F333A" w:rsidP="005F333A">
            <w:pPr>
              <w:rPr>
                <w:b/>
              </w:rPr>
            </w:pPr>
            <w:r w:rsidRPr="005F333A">
              <w:rPr>
                <w:b/>
              </w:rPr>
              <w:t>-</w:t>
            </w:r>
          </w:p>
        </w:tc>
      </w:tr>
      <w:bookmarkEnd w:id="23"/>
      <w:tr w:rsidR="005F333A" w:rsidRPr="005F333A" w14:paraId="7524F4BA" w14:textId="77777777" w:rsidTr="001D647C">
        <w:trPr>
          <w:jc w:val="center"/>
        </w:trPr>
        <w:tc>
          <w:tcPr>
            <w:tcW w:w="3686" w:type="dxa"/>
            <w:shd w:val="clear" w:color="auto" w:fill="D9E2F3" w:themeFill="accent1" w:themeFillTint="33"/>
            <w:vAlign w:val="center"/>
          </w:tcPr>
          <w:p w14:paraId="750F0694" w14:textId="77777777" w:rsidR="005F333A" w:rsidRPr="005F333A" w:rsidRDefault="005F333A" w:rsidP="005F333A">
            <w:pPr>
              <w:rPr>
                <w:bCs/>
              </w:rPr>
            </w:pPr>
            <w:r w:rsidRPr="005F333A">
              <w:rPr>
                <w:bCs/>
              </w:rPr>
              <w:t>Custos de substituição</w:t>
            </w:r>
          </w:p>
        </w:tc>
        <w:tc>
          <w:tcPr>
            <w:tcW w:w="1418" w:type="dxa"/>
            <w:shd w:val="clear" w:color="auto" w:fill="D9E2F3" w:themeFill="accent1" w:themeFillTint="33"/>
            <w:vAlign w:val="center"/>
          </w:tcPr>
          <w:p w14:paraId="5C7C41BE" w14:textId="77777777" w:rsidR="005F333A" w:rsidRPr="005F333A" w:rsidRDefault="005F333A" w:rsidP="005F333A">
            <w:pPr>
              <w:rPr>
                <w:b/>
              </w:rPr>
            </w:pPr>
            <w:r w:rsidRPr="005F333A">
              <w:rPr>
                <w:b/>
              </w:rPr>
              <w:t>-</w:t>
            </w:r>
          </w:p>
        </w:tc>
        <w:tc>
          <w:tcPr>
            <w:tcW w:w="1418" w:type="dxa"/>
            <w:shd w:val="clear" w:color="auto" w:fill="D9E2F3" w:themeFill="accent1" w:themeFillTint="33"/>
            <w:vAlign w:val="center"/>
          </w:tcPr>
          <w:p w14:paraId="25F2F81B" w14:textId="77777777" w:rsidR="005F333A" w:rsidRPr="005F333A" w:rsidRDefault="005F333A" w:rsidP="005F333A">
            <w:pPr>
              <w:rPr>
                <w:b/>
              </w:rPr>
            </w:pPr>
            <w:r w:rsidRPr="005F333A">
              <w:rPr>
                <w:b/>
              </w:rPr>
              <w:t>-</w:t>
            </w:r>
          </w:p>
        </w:tc>
      </w:tr>
      <w:tr w:rsidR="005F333A" w:rsidRPr="005F333A" w14:paraId="16D77A34" w14:textId="77777777" w:rsidTr="001D647C">
        <w:trPr>
          <w:jc w:val="center"/>
        </w:trPr>
        <w:tc>
          <w:tcPr>
            <w:tcW w:w="3686" w:type="dxa"/>
            <w:shd w:val="clear" w:color="auto" w:fill="D9E2F3" w:themeFill="accent1" w:themeFillTint="33"/>
            <w:vAlign w:val="center"/>
          </w:tcPr>
          <w:p w14:paraId="25CD8A5E" w14:textId="77777777" w:rsidR="005F333A" w:rsidRPr="005F333A" w:rsidRDefault="005F333A" w:rsidP="005F333A">
            <w:pPr>
              <w:rPr>
                <w:bCs/>
              </w:rPr>
            </w:pPr>
            <w:r w:rsidRPr="005F333A">
              <w:rPr>
                <w:bCs/>
              </w:rPr>
              <w:t>Valor Residual</w:t>
            </w:r>
          </w:p>
        </w:tc>
        <w:tc>
          <w:tcPr>
            <w:tcW w:w="1418" w:type="dxa"/>
            <w:shd w:val="clear" w:color="auto" w:fill="D9E2F3" w:themeFill="accent1" w:themeFillTint="33"/>
            <w:vAlign w:val="center"/>
          </w:tcPr>
          <w:p w14:paraId="5942094B" w14:textId="77777777" w:rsidR="005F333A" w:rsidRPr="005F333A" w:rsidRDefault="005F333A" w:rsidP="005F333A">
            <w:pPr>
              <w:rPr>
                <w:b/>
              </w:rPr>
            </w:pPr>
            <w:r w:rsidRPr="005F333A">
              <w:rPr>
                <w:b/>
              </w:rPr>
              <w:t>+</w:t>
            </w:r>
          </w:p>
        </w:tc>
        <w:tc>
          <w:tcPr>
            <w:tcW w:w="1418" w:type="dxa"/>
            <w:shd w:val="clear" w:color="auto" w:fill="D9E2F3" w:themeFill="accent1" w:themeFillTint="33"/>
            <w:vAlign w:val="center"/>
          </w:tcPr>
          <w:p w14:paraId="556B7795" w14:textId="77777777" w:rsidR="005F333A" w:rsidRPr="005F333A" w:rsidRDefault="005F333A" w:rsidP="005F333A">
            <w:pPr>
              <w:rPr>
                <w:b/>
              </w:rPr>
            </w:pPr>
          </w:p>
        </w:tc>
      </w:tr>
      <w:tr w:rsidR="005F333A" w:rsidRPr="005F333A" w14:paraId="40EE4809" w14:textId="77777777" w:rsidTr="001D647C">
        <w:trPr>
          <w:jc w:val="center"/>
        </w:trPr>
        <w:tc>
          <w:tcPr>
            <w:tcW w:w="3686" w:type="dxa"/>
            <w:shd w:val="clear" w:color="auto" w:fill="8EAADB" w:themeFill="accent1" w:themeFillTint="99"/>
            <w:vAlign w:val="center"/>
          </w:tcPr>
          <w:p w14:paraId="6377E605" w14:textId="77777777" w:rsidR="005F333A" w:rsidRPr="005F333A" w:rsidRDefault="005F333A" w:rsidP="005F333A">
            <w:pPr>
              <w:rPr>
                <w:b/>
              </w:rPr>
            </w:pPr>
            <w:bookmarkStart w:id="25" w:name="_Hlk132389184"/>
            <w:bookmarkEnd w:id="24"/>
            <w:r w:rsidRPr="005F333A">
              <w:rPr>
                <w:b/>
              </w:rPr>
              <w:t>CUSTOS OPERACIONAIS</w:t>
            </w:r>
          </w:p>
        </w:tc>
        <w:tc>
          <w:tcPr>
            <w:tcW w:w="1418" w:type="dxa"/>
            <w:shd w:val="clear" w:color="auto" w:fill="8EAADB" w:themeFill="accent1" w:themeFillTint="99"/>
            <w:vAlign w:val="center"/>
          </w:tcPr>
          <w:p w14:paraId="09C03273" w14:textId="77777777" w:rsidR="005F333A" w:rsidRPr="005F333A" w:rsidRDefault="005F333A" w:rsidP="005F333A">
            <w:pPr>
              <w:rPr>
                <w:b/>
              </w:rPr>
            </w:pPr>
          </w:p>
        </w:tc>
        <w:tc>
          <w:tcPr>
            <w:tcW w:w="1418" w:type="dxa"/>
            <w:shd w:val="clear" w:color="auto" w:fill="8EAADB" w:themeFill="accent1" w:themeFillTint="99"/>
            <w:vAlign w:val="center"/>
          </w:tcPr>
          <w:p w14:paraId="2D5C1715" w14:textId="77777777" w:rsidR="005F333A" w:rsidRPr="005F333A" w:rsidRDefault="005F333A" w:rsidP="005F333A">
            <w:pPr>
              <w:rPr>
                <w:b/>
              </w:rPr>
            </w:pPr>
          </w:p>
        </w:tc>
      </w:tr>
      <w:bookmarkEnd w:id="25"/>
      <w:tr w:rsidR="005F333A" w:rsidRPr="005F333A" w14:paraId="75C37DE4" w14:textId="77777777" w:rsidTr="001D647C">
        <w:trPr>
          <w:jc w:val="center"/>
        </w:trPr>
        <w:tc>
          <w:tcPr>
            <w:tcW w:w="3686" w:type="dxa"/>
            <w:shd w:val="clear" w:color="auto" w:fill="DBE5F1"/>
            <w:vAlign w:val="center"/>
          </w:tcPr>
          <w:p w14:paraId="104E5F15" w14:textId="77777777" w:rsidR="005F333A" w:rsidRPr="005F333A" w:rsidRDefault="005F333A" w:rsidP="005F333A">
            <w:pPr>
              <w:rPr>
                <w:bCs/>
              </w:rPr>
            </w:pPr>
            <w:r w:rsidRPr="005F333A">
              <w:rPr>
                <w:bCs/>
              </w:rPr>
              <w:t>Custos com pessoal</w:t>
            </w:r>
          </w:p>
        </w:tc>
        <w:tc>
          <w:tcPr>
            <w:tcW w:w="1418" w:type="dxa"/>
            <w:shd w:val="clear" w:color="auto" w:fill="DBE5F1"/>
            <w:vAlign w:val="center"/>
          </w:tcPr>
          <w:p w14:paraId="29A26BFE" w14:textId="77777777" w:rsidR="005F333A" w:rsidRPr="005F333A" w:rsidRDefault="005F333A" w:rsidP="005F333A">
            <w:pPr>
              <w:rPr>
                <w:b/>
              </w:rPr>
            </w:pPr>
            <w:r w:rsidRPr="005F333A">
              <w:rPr>
                <w:b/>
              </w:rPr>
              <w:t>-</w:t>
            </w:r>
          </w:p>
        </w:tc>
        <w:tc>
          <w:tcPr>
            <w:tcW w:w="1418" w:type="dxa"/>
            <w:shd w:val="clear" w:color="auto" w:fill="DBE5F1"/>
            <w:vAlign w:val="center"/>
          </w:tcPr>
          <w:p w14:paraId="5715AE10" w14:textId="77777777" w:rsidR="005F333A" w:rsidRPr="005F333A" w:rsidRDefault="005F333A" w:rsidP="005F333A">
            <w:pPr>
              <w:rPr>
                <w:b/>
              </w:rPr>
            </w:pPr>
            <w:r w:rsidRPr="005F333A">
              <w:rPr>
                <w:b/>
              </w:rPr>
              <w:t>-</w:t>
            </w:r>
          </w:p>
        </w:tc>
      </w:tr>
      <w:tr w:rsidR="005F333A" w:rsidRPr="005F333A" w14:paraId="72BA17A0" w14:textId="77777777" w:rsidTr="001D647C">
        <w:trPr>
          <w:jc w:val="center"/>
        </w:trPr>
        <w:tc>
          <w:tcPr>
            <w:tcW w:w="3686" w:type="dxa"/>
            <w:shd w:val="clear" w:color="auto" w:fill="DBE5F1"/>
            <w:vAlign w:val="center"/>
          </w:tcPr>
          <w:p w14:paraId="67C18B1D" w14:textId="77777777" w:rsidR="005F333A" w:rsidRPr="005F333A" w:rsidRDefault="005F333A" w:rsidP="005F333A">
            <w:pPr>
              <w:rPr>
                <w:bCs/>
              </w:rPr>
            </w:pPr>
            <w:r w:rsidRPr="005F333A">
              <w:rPr>
                <w:bCs/>
              </w:rPr>
              <w:t>Energia</w:t>
            </w:r>
          </w:p>
        </w:tc>
        <w:tc>
          <w:tcPr>
            <w:tcW w:w="1418" w:type="dxa"/>
            <w:shd w:val="clear" w:color="auto" w:fill="DBE5F1"/>
            <w:vAlign w:val="center"/>
          </w:tcPr>
          <w:p w14:paraId="0702B7F9" w14:textId="77777777" w:rsidR="005F333A" w:rsidRPr="005F333A" w:rsidRDefault="005F333A" w:rsidP="005F333A">
            <w:pPr>
              <w:rPr>
                <w:b/>
              </w:rPr>
            </w:pPr>
            <w:r w:rsidRPr="005F333A">
              <w:rPr>
                <w:b/>
              </w:rPr>
              <w:t>-</w:t>
            </w:r>
          </w:p>
        </w:tc>
        <w:tc>
          <w:tcPr>
            <w:tcW w:w="1418" w:type="dxa"/>
            <w:shd w:val="clear" w:color="auto" w:fill="DBE5F1"/>
            <w:vAlign w:val="center"/>
          </w:tcPr>
          <w:p w14:paraId="0E58762B" w14:textId="77777777" w:rsidR="005F333A" w:rsidRPr="005F333A" w:rsidRDefault="005F333A" w:rsidP="005F333A">
            <w:pPr>
              <w:rPr>
                <w:b/>
              </w:rPr>
            </w:pPr>
            <w:r w:rsidRPr="005F333A">
              <w:rPr>
                <w:b/>
              </w:rPr>
              <w:t>-</w:t>
            </w:r>
          </w:p>
        </w:tc>
      </w:tr>
      <w:tr w:rsidR="005F333A" w:rsidRPr="005F333A" w14:paraId="01366838" w14:textId="77777777" w:rsidTr="001D647C">
        <w:trPr>
          <w:jc w:val="center"/>
        </w:trPr>
        <w:tc>
          <w:tcPr>
            <w:tcW w:w="3686" w:type="dxa"/>
            <w:shd w:val="clear" w:color="auto" w:fill="DBE5F1"/>
            <w:vAlign w:val="center"/>
          </w:tcPr>
          <w:p w14:paraId="68294451" w14:textId="77777777" w:rsidR="005F333A" w:rsidRPr="005F333A" w:rsidRDefault="005F333A" w:rsidP="005F333A">
            <w:pPr>
              <w:rPr>
                <w:bCs/>
              </w:rPr>
            </w:pPr>
            <w:r w:rsidRPr="005F333A">
              <w:rPr>
                <w:bCs/>
              </w:rPr>
              <w:t>Gerais</w:t>
            </w:r>
          </w:p>
        </w:tc>
        <w:tc>
          <w:tcPr>
            <w:tcW w:w="1418" w:type="dxa"/>
            <w:shd w:val="clear" w:color="auto" w:fill="DBE5F1"/>
            <w:vAlign w:val="center"/>
          </w:tcPr>
          <w:p w14:paraId="122EC68C" w14:textId="77777777" w:rsidR="005F333A" w:rsidRPr="005F333A" w:rsidRDefault="005F333A" w:rsidP="005F333A">
            <w:pPr>
              <w:rPr>
                <w:b/>
              </w:rPr>
            </w:pPr>
            <w:r w:rsidRPr="005F333A">
              <w:rPr>
                <w:b/>
              </w:rPr>
              <w:t>-</w:t>
            </w:r>
          </w:p>
        </w:tc>
        <w:tc>
          <w:tcPr>
            <w:tcW w:w="1418" w:type="dxa"/>
            <w:shd w:val="clear" w:color="auto" w:fill="DBE5F1"/>
            <w:vAlign w:val="center"/>
          </w:tcPr>
          <w:p w14:paraId="2783AAA6" w14:textId="77777777" w:rsidR="005F333A" w:rsidRPr="005F333A" w:rsidRDefault="005F333A" w:rsidP="005F333A">
            <w:pPr>
              <w:rPr>
                <w:b/>
              </w:rPr>
            </w:pPr>
            <w:r w:rsidRPr="005F333A">
              <w:rPr>
                <w:b/>
              </w:rPr>
              <w:t>-</w:t>
            </w:r>
          </w:p>
        </w:tc>
      </w:tr>
      <w:tr w:rsidR="005F333A" w:rsidRPr="005F333A" w14:paraId="377BFFDD" w14:textId="77777777" w:rsidTr="001D647C">
        <w:trPr>
          <w:jc w:val="center"/>
        </w:trPr>
        <w:tc>
          <w:tcPr>
            <w:tcW w:w="3686" w:type="dxa"/>
            <w:shd w:val="clear" w:color="auto" w:fill="DBE5F1"/>
            <w:vAlign w:val="center"/>
          </w:tcPr>
          <w:p w14:paraId="1F48CB84" w14:textId="77777777" w:rsidR="005F333A" w:rsidRPr="005F333A" w:rsidRDefault="005F333A" w:rsidP="005F333A">
            <w:pPr>
              <w:rPr>
                <w:bCs/>
              </w:rPr>
            </w:pPr>
            <w:bookmarkStart w:id="26" w:name="_Hlk132389047"/>
            <w:r w:rsidRPr="005F333A">
              <w:rPr>
                <w:bCs/>
              </w:rPr>
              <w:t>Serviços Intermédios</w:t>
            </w:r>
          </w:p>
        </w:tc>
        <w:tc>
          <w:tcPr>
            <w:tcW w:w="1418" w:type="dxa"/>
            <w:shd w:val="clear" w:color="auto" w:fill="DBE5F1"/>
            <w:vAlign w:val="center"/>
          </w:tcPr>
          <w:p w14:paraId="46B45002" w14:textId="77777777" w:rsidR="005F333A" w:rsidRPr="005F333A" w:rsidRDefault="005F333A" w:rsidP="005F333A">
            <w:pPr>
              <w:rPr>
                <w:b/>
              </w:rPr>
            </w:pPr>
            <w:r w:rsidRPr="005F333A">
              <w:rPr>
                <w:b/>
              </w:rPr>
              <w:t>-</w:t>
            </w:r>
          </w:p>
        </w:tc>
        <w:tc>
          <w:tcPr>
            <w:tcW w:w="1418" w:type="dxa"/>
            <w:shd w:val="clear" w:color="auto" w:fill="DBE5F1"/>
            <w:vAlign w:val="center"/>
          </w:tcPr>
          <w:p w14:paraId="0E6E45E4" w14:textId="77777777" w:rsidR="005F333A" w:rsidRPr="005F333A" w:rsidRDefault="005F333A" w:rsidP="005F333A">
            <w:pPr>
              <w:rPr>
                <w:b/>
              </w:rPr>
            </w:pPr>
            <w:r w:rsidRPr="005F333A">
              <w:rPr>
                <w:b/>
              </w:rPr>
              <w:t>-</w:t>
            </w:r>
          </w:p>
        </w:tc>
      </w:tr>
      <w:tr w:rsidR="005F333A" w:rsidRPr="005F333A" w14:paraId="6364FBEC" w14:textId="77777777" w:rsidTr="001D647C">
        <w:trPr>
          <w:jc w:val="center"/>
        </w:trPr>
        <w:tc>
          <w:tcPr>
            <w:tcW w:w="3686" w:type="dxa"/>
            <w:shd w:val="clear" w:color="auto" w:fill="DBE5F1"/>
            <w:vAlign w:val="center"/>
          </w:tcPr>
          <w:p w14:paraId="2B13986E" w14:textId="77777777" w:rsidR="005F333A" w:rsidRPr="005F333A" w:rsidRDefault="005F333A" w:rsidP="005F333A">
            <w:pPr>
              <w:rPr>
                <w:bCs/>
              </w:rPr>
            </w:pPr>
            <w:r w:rsidRPr="005F333A">
              <w:rPr>
                <w:bCs/>
              </w:rPr>
              <w:t>(…)</w:t>
            </w:r>
          </w:p>
        </w:tc>
        <w:tc>
          <w:tcPr>
            <w:tcW w:w="1418" w:type="dxa"/>
            <w:shd w:val="clear" w:color="auto" w:fill="DBE5F1"/>
            <w:vAlign w:val="center"/>
          </w:tcPr>
          <w:p w14:paraId="29CB70F4" w14:textId="77777777" w:rsidR="005F333A" w:rsidRPr="005F333A" w:rsidRDefault="005F333A" w:rsidP="005F333A">
            <w:pPr>
              <w:rPr>
                <w:bCs/>
              </w:rPr>
            </w:pPr>
            <w:r w:rsidRPr="005F333A">
              <w:rPr>
                <w:bCs/>
              </w:rPr>
              <w:t>-</w:t>
            </w:r>
          </w:p>
        </w:tc>
        <w:tc>
          <w:tcPr>
            <w:tcW w:w="1418" w:type="dxa"/>
            <w:shd w:val="clear" w:color="auto" w:fill="DBE5F1"/>
            <w:vAlign w:val="center"/>
          </w:tcPr>
          <w:p w14:paraId="7CB914EE" w14:textId="77777777" w:rsidR="005F333A" w:rsidRPr="005F333A" w:rsidRDefault="005F333A" w:rsidP="005F333A">
            <w:pPr>
              <w:rPr>
                <w:bCs/>
              </w:rPr>
            </w:pPr>
            <w:r w:rsidRPr="005F333A">
              <w:rPr>
                <w:bCs/>
              </w:rPr>
              <w:t>-</w:t>
            </w:r>
          </w:p>
        </w:tc>
      </w:tr>
      <w:bookmarkEnd w:id="26"/>
      <w:tr w:rsidR="005F333A" w:rsidRPr="005F333A" w14:paraId="113675CD" w14:textId="77777777" w:rsidTr="001D647C">
        <w:trPr>
          <w:jc w:val="center"/>
        </w:trPr>
        <w:tc>
          <w:tcPr>
            <w:tcW w:w="3686" w:type="dxa"/>
            <w:shd w:val="clear" w:color="auto" w:fill="8EAADB" w:themeFill="accent1" w:themeFillTint="99"/>
            <w:vAlign w:val="center"/>
          </w:tcPr>
          <w:p w14:paraId="34218A8A" w14:textId="77777777" w:rsidR="005F333A" w:rsidRPr="005F333A" w:rsidRDefault="005F333A" w:rsidP="005F333A">
            <w:pPr>
              <w:rPr>
                <w:b/>
              </w:rPr>
            </w:pPr>
            <w:r w:rsidRPr="005F333A">
              <w:rPr>
                <w:b/>
              </w:rPr>
              <w:t>OUTRAS SAÍDAS</w:t>
            </w:r>
          </w:p>
        </w:tc>
        <w:tc>
          <w:tcPr>
            <w:tcW w:w="1418" w:type="dxa"/>
            <w:shd w:val="clear" w:color="auto" w:fill="8EAADB" w:themeFill="accent1" w:themeFillTint="99"/>
            <w:vAlign w:val="center"/>
          </w:tcPr>
          <w:p w14:paraId="05CCA900" w14:textId="77777777" w:rsidR="005F333A" w:rsidRPr="005F333A" w:rsidRDefault="005F333A" w:rsidP="005F333A">
            <w:pPr>
              <w:rPr>
                <w:b/>
              </w:rPr>
            </w:pPr>
          </w:p>
        </w:tc>
        <w:tc>
          <w:tcPr>
            <w:tcW w:w="1418" w:type="dxa"/>
            <w:shd w:val="clear" w:color="auto" w:fill="8EAADB" w:themeFill="accent1" w:themeFillTint="99"/>
            <w:vAlign w:val="center"/>
          </w:tcPr>
          <w:p w14:paraId="177C28D0" w14:textId="77777777" w:rsidR="005F333A" w:rsidRPr="005F333A" w:rsidRDefault="005F333A" w:rsidP="005F333A">
            <w:pPr>
              <w:rPr>
                <w:b/>
              </w:rPr>
            </w:pPr>
          </w:p>
        </w:tc>
      </w:tr>
      <w:tr w:rsidR="005F333A" w:rsidRPr="005F333A" w14:paraId="013EEF60" w14:textId="77777777" w:rsidTr="001D647C">
        <w:trPr>
          <w:jc w:val="center"/>
        </w:trPr>
        <w:tc>
          <w:tcPr>
            <w:tcW w:w="3686" w:type="dxa"/>
            <w:shd w:val="clear" w:color="auto" w:fill="D9E2F3" w:themeFill="accent1" w:themeFillTint="33"/>
            <w:vAlign w:val="center"/>
          </w:tcPr>
          <w:p w14:paraId="715202D3" w14:textId="77777777" w:rsidR="005F333A" w:rsidRPr="005F333A" w:rsidRDefault="005F333A" w:rsidP="005F333A">
            <w:pPr>
              <w:rPr>
                <w:bCs/>
              </w:rPr>
            </w:pPr>
            <w:r w:rsidRPr="005F333A">
              <w:rPr>
                <w:bCs/>
              </w:rPr>
              <w:t>Amortizações de empréstimos</w:t>
            </w:r>
          </w:p>
        </w:tc>
        <w:tc>
          <w:tcPr>
            <w:tcW w:w="1418" w:type="dxa"/>
            <w:shd w:val="clear" w:color="auto" w:fill="D9E2F3" w:themeFill="accent1" w:themeFillTint="33"/>
            <w:vAlign w:val="center"/>
          </w:tcPr>
          <w:p w14:paraId="7243522F" w14:textId="77777777" w:rsidR="005F333A" w:rsidRPr="005F333A" w:rsidRDefault="005F333A" w:rsidP="005F333A">
            <w:pPr>
              <w:rPr>
                <w:bCs/>
              </w:rPr>
            </w:pPr>
          </w:p>
        </w:tc>
        <w:tc>
          <w:tcPr>
            <w:tcW w:w="1418" w:type="dxa"/>
            <w:shd w:val="clear" w:color="auto" w:fill="D9E2F3" w:themeFill="accent1" w:themeFillTint="33"/>
            <w:vAlign w:val="center"/>
          </w:tcPr>
          <w:p w14:paraId="1BB4C6E5" w14:textId="77777777" w:rsidR="005F333A" w:rsidRPr="005F333A" w:rsidRDefault="005F333A" w:rsidP="005F333A">
            <w:pPr>
              <w:rPr>
                <w:bCs/>
              </w:rPr>
            </w:pPr>
            <w:r w:rsidRPr="005F333A">
              <w:rPr>
                <w:bCs/>
              </w:rPr>
              <w:t>-</w:t>
            </w:r>
          </w:p>
        </w:tc>
      </w:tr>
      <w:tr w:rsidR="005F333A" w:rsidRPr="005F333A" w14:paraId="094E0149" w14:textId="77777777" w:rsidTr="001D647C">
        <w:trPr>
          <w:jc w:val="center"/>
        </w:trPr>
        <w:tc>
          <w:tcPr>
            <w:tcW w:w="3686" w:type="dxa"/>
            <w:shd w:val="clear" w:color="auto" w:fill="D9E2F3" w:themeFill="accent1" w:themeFillTint="33"/>
            <w:vAlign w:val="center"/>
          </w:tcPr>
          <w:p w14:paraId="6671E17B" w14:textId="77777777" w:rsidR="005F333A" w:rsidRPr="005F333A" w:rsidRDefault="005F333A" w:rsidP="005F333A">
            <w:pPr>
              <w:rPr>
                <w:bCs/>
              </w:rPr>
            </w:pPr>
            <w:r w:rsidRPr="005F333A">
              <w:rPr>
                <w:bCs/>
              </w:rPr>
              <w:t>Juros</w:t>
            </w:r>
          </w:p>
        </w:tc>
        <w:tc>
          <w:tcPr>
            <w:tcW w:w="1418" w:type="dxa"/>
            <w:shd w:val="clear" w:color="auto" w:fill="D9E2F3" w:themeFill="accent1" w:themeFillTint="33"/>
            <w:vAlign w:val="center"/>
          </w:tcPr>
          <w:p w14:paraId="39E420F3" w14:textId="77777777" w:rsidR="005F333A" w:rsidRPr="005F333A" w:rsidRDefault="005F333A" w:rsidP="005F333A">
            <w:pPr>
              <w:rPr>
                <w:bCs/>
              </w:rPr>
            </w:pPr>
          </w:p>
        </w:tc>
        <w:tc>
          <w:tcPr>
            <w:tcW w:w="1418" w:type="dxa"/>
            <w:shd w:val="clear" w:color="auto" w:fill="D9E2F3" w:themeFill="accent1" w:themeFillTint="33"/>
            <w:vAlign w:val="center"/>
          </w:tcPr>
          <w:p w14:paraId="7FD0D37B" w14:textId="77777777" w:rsidR="005F333A" w:rsidRPr="005F333A" w:rsidRDefault="005F333A" w:rsidP="005F333A">
            <w:pPr>
              <w:rPr>
                <w:bCs/>
              </w:rPr>
            </w:pPr>
            <w:r w:rsidRPr="005F333A">
              <w:rPr>
                <w:bCs/>
              </w:rPr>
              <w:t>-</w:t>
            </w:r>
          </w:p>
        </w:tc>
      </w:tr>
      <w:tr w:rsidR="005F333A" w:rsidRPr="005F333A" w14:paraId="7AFB278C" w14:textId="77777777" w:rsidTr="001D647C">
        <w:trPr>
          <w:jc w:val="center"/>
        </w:trPr>
        <w:tc>
          <w:tcPr>
            <w:tcW w:w="3686" w:type="dxa"/>
            <w:shd w:val="clear" w:color="auto" w:fill="D9E2F3" w:themeFill="accent1" w:themeFillTint="33"/>
            <w:vAlign w:val="center"/>
          </w:tcPr>
          <w:p w14:paraId="1093FAB4" w14:textId="77777777" w:rsidR="005F333A" w:rsidRPr="005F333A" w:rsidRDefault="005F333A" w:rsidP="005F333A">
            <w:pPr>
              <w:rPr>
                <w:bCs/>
              </w:rPr>
            </w:pPr>
            <w:r w:rsidRPr="005F333A">
              <w:rPr>
                <w:bCs/>
              </w:rPr>
              <w:t>Impostos</w:t>
            </w:r>
          </w:p>
        </w:tc>
        <w:tc>
          <w:tcPr>
            <w:tcW w:w="1418" w:type="dxa"/>
            <w:shd w:val="clear" w:color="auto" w:fill="D9E2F3" w:themeFill="accent1" w:themeFillTint="33"/>
            <w:vAlign w:val="center"/>
          </w:tcPr>
          <w:p w14:paraId="1805932D" w14:textId="77777777" w:rsidR="005F333A" w:rsidRPr="005F333A" w:rsidRDefault="005F333A" w:rsidP="005F333A">
            <w:pPr>
              <w:rPr>
                <w:bCs/>
              </w:rPr>
            </w:pPr>
          </w:p>
        </w:tc>
        <w:tc>
          <w:tcPr>
            <w:tcW w:w="1418" w:type="dxa"/>
            <w:shd w:val="clear" w:color="auto" w:fill="D9E2F3" w:themeFill="accent1" w:themeFillTint="33"/>
            <w:vAlign w:val="center"/>
          </w:tcPr>
          <w:p w14:paraId="28EBD946" w14:textId="77777777" w:rsidR="005F333A" w:rsidRPr="005F333A" w:rsidRDefault="005F333A" w:rsidP="005F333A">
            <w:pPr>
              <w:rPr>
                <w:bCs/>
              </w:rPr>
            </w:pPr>
            <w:r w:rsidRPr="005F333A">
              <w:rPr>
                <w:bCs/>
              </w:rPr>
              <w:t>-</w:t>
            </w:r>
          </w:p>
        </w:tc>
      </w:tr>
      <w:tr w:rsidR="005F333A" w:rsidRPr="005F333A" w14:paraId="06049FAD" w14:textId="77777777" w:rsidTr="001D647C">
        <w:trPr>
          <w:jc w:val="center"/>
        </w:trPr>
        <w:tc>
          <w:tcPr>
            <w:tcW w:w="3686" w:type="dxa"/>
            <w:shd w:val="clear" w:color="auto" w:fill="8EAADB" w:themeFill="accent1" w:themeFillTint="99"/>
            <w:vAlign w:val="center"/>
          </w:tcPr>
          <w:p w14:paraId="10290CE4" w14:textId="77777777" w:rsidR="005F333A" w:rsidRPr="005F333A" w:rsidRDefault="005F333A" w:rsidP="005F333A">
            <w:pPr>
              <w:rPr>
                <w:b/>
              </w:rPr>
            </w:pPr>
            <w:bookmarkStart w:id="27" w:name="_Hlk132389317"/>
            <w:r w:rsidRPr="005F333A">
              <w:rPr>
                <w:b/>
              </w:rPr>
              <w:t>ENTRADAS</w:t>
            </w:r>
          </w:p>
        </w:tc>
        <w:tc>
          <w:tcPr>
            <w:tcW w:w="1418" w:type="dxa"/>
            <w:shd w:val="clear" w:color="auto" w:fill="8EAADB" w:themeFill="accent1" w:themeFillTint="99"/>
            <w:vAlign w:val="center"/>
          </w:tcPr>
          <w:p w14:paraId="11E03104" w14:textId="77777777" w:rsidR="005F333A" w:rsidRPr="005F333A" w:rsidRDefault="005F333A" w:rsidP="005F333A">
            <w:pPr>
              <w:rPr>
                <w:b/>
              </w:rPr>
            </w:pPr>
          </w:p>
        </w:tc>
        <w:tc>
          <w:tcPr>
            <w:tcW w:w="1418" w:type="dxa"/>
            <w:shd w:val="clear" w:color="auto" w:fill="8EAADB" w:themeFill="accent1" w:themeFillTint="99"/>
            <w:vAlign w:val="center"/>
          </w:tcPr>
          <w:p w14:paraId="60C5240B" w14:textId="77777777" w:rsidR="005F333A" w:rsidRPr="005F333A" w:rsidRDefault="005F333A" w:rsidP="005F333A">
            <w:pPr>
              <w:rPr>
                <w:b/>
              </w:rPr>
            </w:pPr>
          </w:p>
        </w:tc>
      </w:tr>
      <w:bookmarkEnd w:id="27"/>
      <w:tr w:rsidR="005F333A" w:rsidRPr="005F333A" w14:paraId="6E93E6A7" w14:textId="77777777" w:rsidTr="001D647C">
        <w:trPr>
          <w:jc w:val="center"/>
        </w:trPr>
        <w:tc>
          <w:tcPr>
            <w:tcW w:w="3686" w:type="dxa"/>
            <w:shd w:val="clear" w:color="auto" w:fill="DBE5F1"/>
            <w:vAlign w:val="center"/>
          </w:tcPr>
          <w:p w14:paraId="7A6E75FA" w14:textId="77777777" w:rsidR="005F333A" w:rsidRPr="005F333A" w:rsidRDefault="005F333A" w:rsidP="005F333A">
            <w:pPr>
              <w:rPr>
                <w:bCs/>
              </w:rPr>
            </w:pPr>
            <w:r w:rsidRPr="005F333A">
              <w:rPr>
                <w:bCs/>
              </w:rPr>
              <w:t>Receitas operacionais</w:t>
            </w:r>
          </w:p>
        </w:tc>
        <w:tc>
          <w:tcPr>
            <w:tcW w:w="1418" w:type="dxa"/>
            <w:shd w:val="clear" w:color="auto" w:fill="DBE5F1"/>
            <w:vAlign w:val="center"/>
          </w:tcPr>
          <w:p w14:paraId="7AB0F89E" w14:textId="77777777" w:rsidR="005F333A" w:rsidRPr="005F333A" w:rsidRDefault="005F333A" w:rsidP="005F333A">
            <w:pPr>
              <w:rPr>
                <w:bCs/>
              </w:rPr>
            </w:pPr>
            <w:r w:rsidRPr="005F333A">
              <w:rPr>
                <w:bCs/>
              </w:rPr>
              <w:t>+</w:t>
            </w:r>
          </w:p>
        </w:tc>
        <w:tc>
          <w:tcPr>
            <w:tcW w:w="1418" w:type="dxa"/>
            <w:shd w:val="clear" w:color="auto" w:fill="DBE5F1"/>
            <w:vAlign w:val="center"/>
          </w:tcPr>
          <w:p w14:paraId="723ECEE4" w14:textId="77777777" w:rsidR="005F333A" w:rsidRPr="005F333A" w:rsidRDefault="005F333A" w:rsidP="005F333A">
            <w:pPr>
              <w:rPr>
                <w:bCs/>
              </w:rPr>
            </w:pPr>
            <w:r w:rsidRPr="005F333A">
              <w:rPr>
                <w:bCs/>
              </w:rPr>
              <w:t>+</w:t>
            </w:r>
          </w:p>
        </w:tc>
      </w:tr>
      <w:tr w:rsidR="005F333A" w:rsidRPr="005F333A" w14:paraId="2CFDF670" w14:textId="77777777" w:rsidTr="001D647C">
        <w:trPr>
          <w:jc w:val="center"/>
        </w:trPr>
        <w:tc>
          <w:tcPr>
            <w:tcW w:w="3686" w:type="dxa"/>
            <w:shd w:val="clear" w:color="auto" w:fill="DBE5F1"/>
            <w:vAlign w:val="center"/>
          </w:tcPr>
          <w:p w14:paraId="3B048F2D" w14:textId="77777777" w:rsidR="005F333A" w:rsidRPr="005F333A" w:rsidRDefault="005F333A" w:rsidP="005F333A">
            <w:pPr>
              <w:rPr>
                <w:bCs/>
              </w:rPr>
            </w:pPr>
            <w:r w:rsidRPr="005F333A">
              <w:rPr>
                <w:bCs/>
              </w:rPr>
              <w:t>Subsídios à exploração</w:t>
            </w:r>
          </w:p>
        </w:tc>
        <w:tc>
          <w:tcPr>
            <w:tcW w:w="1418" w:type="dxa"/>
            <w:shd w:val="clear" w:color="auto" w:fill="DBE5F1"/>
            <w:vAlign w:val="center"/>
          </w:tcPr>
          <w:p w14:paraId="38F58A97" w14:textId="77777777" w:rsidR="005F333A" w:rsidRPr="005F333A" w:rsidRDefault="005F333A" w:rsidP="005F333A">
            <w:pPr>
              <w:rPr>
                <w:bCs/>
              </w:rPr>
            </w:pPr>
          </w:p>
        </w:tc>
        <w:tc>
          <w:tcPr>
            <w:tcW w:w="1418" w:type="dxa"/>
            <w:shd w:val="clear" w:color="auto" w:fill="DBE5F1"/>
            <w:vAlign w:val="center"/>
          </w:tcPr>
          <w:p w14:paraId="3ED28325" w14:textId="77777777" w:rsidR="005F333A" w:rsidRPr="005F333A" w:rsidRDefault="005F333A" w:rsidP="005F333A">
            <w:pPr>
              <w:rPr>
                <w:bCs/>
              </w:rPr>
            </w:pPr>
            <w:r w:rsidRPr="005F333A">
              <w:rPr>
                <w:bCs/>
              </w:rPr>
              <w:t>+</w:t>
            </w:r>
          </w:p>
        </w:tc>
      </w:tr>
      <w:tr w:rsidR="005F333A" w:rsidRPr="005F333A" w14:paraId="742E9EB2" w14:textId="77777777" w:rsidTr="001D647C">
        <w:trPr>
          <w:jc w:val="center"/>
        </w:trPr>
        <w:tc>
          <w:tcPr>
            <w:tcW w:w="3686" w:type="dxa"/>
            <w:shd w:val="clear" w:color="auto" w:fill="8EAADB" w:themeFill="accent1" w:themeFillTint="99"/>
            <w:vAlign w:val="center"/>
          </w:tcPr>
          <w:p w14:paraId="25E3F1EB" w14:textId="77777777" w:rsidR="005F333A" w:rsidRPr="005F333A" w:rsidRDefault="005F333A" w:rsidP="005F333A">
            <w:pPr>
              <w:rPr>
                <w:b/>
              </w:rPr>
            </w:pPr>
            <w:r w:rsidRPr="005F333A">
              <w:rPr>
                <w:b/>
              </w:rPr>
              <w:t>FONTES DE FINANCIAMENTO</w:t>
            </w:r>
          </w:p>
        </w:tc>
        <w:tc>
          <w:tcPr>
            <w:tcW w:w="1418" w:type="dxa"/>
            <w:shd w:val="clear" w:color="auto" w:fill="8EAADB" w:themeFill="accent1" w:themeFillTint="99"/>
            <w:vAlign w:val="center"/>
          </w:tcPr>
          <w:p w14:paraId="34C485EF" w14:textId="77777777" w:rsidR="005F333A" w:rsidRPr="005F333A" w:rsidRDefault="005F333A" w:rsidP="005F333A">
            <w:pPr>
              <w:rPr>
                <w:b/>
              </w:rPr>
            </w:pPr>
          </w:p>
        </w:tc>
        <w:tc>
          <w:tcPr>
            <w:tcW w:w="1418" w:type="dxa"/>
            <w:shd w:val="clear" w:color="auto" w:fill="8EAADB" w:themeFill="accent1" w:themeFillTint="99"/>
            <w:vAlign w:val="center"/>
          </w:tcPr>
          <w:p w14:paraId="7252F930" w14:textId="77777777" w:rsidR="005F333A" w:rsidRPr="005F333A" w:rsidRDefault="005F333A" w:rsidP="005F333A">
            <w:pPr>
              <w:rPr>
                <w:b/>
              </w:rPr>
            </w:pPr>
          </w:p>
        </w:tc>
      </w:tr>
      <w:tr w:rsidR="005F333A" w:rsidRPr="005F333A" w14:paraId="78EFE391" w14:textId="77777777" w:rsidTr="001D647C">
        <w:trPr>
          <w:jc w:val="center"/>
        </w:trPr>
        <w:tc>
          <w:tcPr>
            <w:tcW w:w="3686" w:type="dxa"/>
            <w:shd w:val="clear" w:color="auto" w:fill="D9E2F3" w:themeFill="accent1" w:themeFillTint="33"/>
            <w:vAlign w:val="center"/>
          </w:tcPr>
          <w:p w14:paraId="3B8B0109" w14:textId="77777777" w:rsidR="005F333A" w:rsidRPr="005F333A" w:rsidRDefault="005F333A" w:rsidP="005F333A">
            <w:pPr>
              <w:rPr>
                <w:bCs/>
              </w:rPr>
            </w:pPr>
            <w:r w:rsidRPr="005F333A">
              <w:rPr>
                <w:bCs/>
              </w:rPr>
              <w:t>Contribuição da União Europeia</w:t>
            </w:r>
          </w:p>
        </w:tc>
        <w:tc>
          <w:tcPr>
            <w:tcW w:w="1418" w:type="dxa"/>
            <w:shd w:val="clear" w:color="auto" w:fill="D9E2F3" w:themeFill="accent1" w:themeFillTint="33"/>
            <w:vAlign w:val="center"/>
          </w:tcPr>
          <w:p w14:paraId="5EB37F2C" w14:textId="77777777" w:rsidR="005F333A" w:rsidRPr="005F333A" w:rsidRDefault="005F333A" w:rsidP="005F333A">
            <w:pPr>
              <w:rPr>
                <w:bCs/>
              </w:rPr>
            </w:pPr>
          </w:p>
        </w:tc>
        <w:tc>
          <w:tcPr>
            <w:tcW w:w="1418" w:type="dxa"/>
            <w:shd w:val="clear" w:color="auto" w:fill="D9E2F3" w:themeFill="accent1" w:themeFillTint="33"/>
            <w:vAlign w:val="center"/>
          </w:tcPr>
          <w:p w14:paraId="2722B113" w14:textId="77777777" w:rsidR="005F333A" w:rsidRPr="005F333A" w:rsidRDefault="005F333A" w:rsidP="005F333A">
            <w:pPr>
              <w:rPr>
                <w:bCs/>
              </w:rPr>
            </w:pPr>
            <w:r w:rsidRPr="005F333A">
              <w:rPr>
                <w:bCs/>
              </w:rPr>
              <w:t>+</w:t>
            </w:r>
          </w:p>
        </w:tc>
      </w:tr>
      <w:tr w:rsidR="005F333A" w:rsidRPr="005F333A" w14:paraId="333A0BDB" w14:textId="77777777" w:rsidTr="001D647C">
        <w:trPr>
          <w:jc w:val="center"/>
        </w:trPr>
        <w:tc>
          <w:tcPr>
            <w:tcW w:w="3686" w:type="dxa"/>
            <w:shd w:val="clear" w:color="auto" w:fill="D9E2F3" w:themeFill="accent1" w:themeFillTint="33"/>
            <w:vAlign w:val="center"/>
          </w:tcPr>
          <w:p w14:paraId="25FA1E53" w14:textId="77777777" w:rsidR="005F333A" w:rsidRPr="005F333A" w:rsidRDefault="005F333A" w:rsidP="005F333A">
            <w:pPr>
              <w:rPr>
                <w:bCs/>
              </w:rPr>
            </w:pPr>
            <w:r w:rsidRPr="005F333A">
              <w:rPr>
                <w:bCs/>
              </w:rPr>
              <w:t>Contribuição Nacional</w:t>
            </w:r>
          </w:p>
        </w:tc>
        <w:tc>
          <w:tcPr>
            <w:tcW w:w="1418" w:type="dxa"/>
            <w:shd w:val="clear" w:color="auto" w:fill="D9E2F3" w:themeFill="accent1" w:themeFillTint="33"/>
            <w:vAlign w:val="center"/>
          </w:tcPr>
          <w:p w14:paraId="076A1851" w14:textId="77777777" w:rsidR="005F333A" w:rsidRPr="005F333A" w:rsidRDefault="005F333A" w:rsidP="005F333A">
            <w:pPr>
              <w:rPr>
                <w:bCs/>
              </w:rPr>
            </w:pPr>
          </w:p>
        </w:tc>
        <w:tc>
          <w:tcPr>
            <w:tcW w:w="1418" w:type="dxa"/>
            <w:shd w:val="clear" w:color="auto" w:fill="D9E2F3" w:themeFill="accent1" w:themeFillTint="33"/>
            <w:vAlign w:val="center"/>
          </w:tcPr>
          <w:p w14:paraId="0C339DD1" w14:textId="77777777" w:rsidR="005F333A" w:rsidRPr="005F333A" w:rsidRDefault="005F333A" w:rsidP="005F333A">
            <w:pPr>
              <w:rPr>
                <w:bCs/>
              </w:rPr>
            </w:pPr>
            <w:r w:rsidRPr="005F333A">
              <w:rPr>
                <w:bCs/>
              </w:rPr>
              <w:t>+</w:t>
            </w:r>
          </w:p>
        </w:tc>
      </w:tr>
      <w:tr w:rsidR="005F333A" w:rsidRPr="005F333A" w14:paraId="1588E73F" w14:textId="77777777" w:rsidTr="001D647C">
        <w:trPr>
          <w:jc w:val="center"/>
        </w:trPr>
        <w:tc>
          <w:tcPr>
            <w:tcW w:w="3686" w:type="dxa"/>
            <w:shd w:val="clear" w:color="auto" w:fill="D9E2F3" w:themeFill="accent1" w:themeFillTint="33"/>
            <w:vAlign w:val="center"/>
          </w:tcPr>
          <w:p w14:paraId="54E59B7C" w14:textId="77777777" w:rsidR="005F333A" w:rsidRPr="005F333A" w:rsidRDefault="005F333A" w:rsidP="005F333A">
            <w:pPr>
              <w:rPr>
                <w:bCs/>
              </w:rPr>
            </w:pPr>
            <w:r w:rsidRPr="005F333A">
              <w:rPr>
                <w:bCs/>
              </w:rPr>
              <w:t>Capitais próprios</w:t>
            </w:r>
          </w:p>
        </w:tc>
        <w:tc>
          <w:tcPr>
            <w:tcW w:w="1418" w:type="dxa"/>
            <w:shd w:val="clear" w:color="auto" w:fill="D9E2F3" w:themeFill="accent1" w:themeFillTint="33"/>
            <w:vAlign w:val="center"/>
          </w:tcPr>
          <w:p w14:paraId="078AD677" w14:textId="77777777" w:rsidR="005F333A" w:rsidRPr="005F333A" w:rsidRDefault="005F333A" w:rsidP="005F333A">
            <w:pPr>
              <w:rPr>
                <w:bCs/>
              </w:rPr>
            </w:pPr>
          </w:p>
        </w:tc>
        <w:tc>
          <w:tcPr>
            <w:tcW w:w="1418" w:type="dxa"/>
            <w:shd w:val="clear" w:color="auto" w:fill="D9E2F3" w:themeFill="accent1" w:themeFillTint="33"/>
            <w:vAlign w:val="center"/>
          </w:tcPr>
          <w:p w14:paraId="745254B7" w14:textId="77777777" w:rsidR="005F333A" w:rsidRPr="005F333A" w:rsidRDefault="005F333A" w:rsidP="005F333A">
            <w:pPr>
              <w:rPr>
                <w:bCs/>
              </w:rPr>
            </w:pPr>
            <w:r w:rsidRPr="005F333A">
              <w:rPr>
                <w:bCs/>
              </w:rPr>
              <w:t>+</w:t>
            </w:r>
          </w:p>
        </w:tc>
      </w:tr>
      <w:tr w:rsidR="005F333A" w:rsidRPr="005F333A" w14:paraId="63798647" w14:textId="77777777" w:rsidTr="001D647C">
        <w:trPr>
          <w:jc w:val="center"/>
        </w:trPr>
        <w:tc>
          <w:tcPr>
            <w:tcW w:w="3686" w:type="dxa"/>
            <w:shd w:val="clear" w:color="auto" w:fill="D9E2F3" w:themeFill="accent1" w:themeFillTint="33"/>
            <w:vAlign w:val="center"/>
          </w:tcPr>
          <w:p w14:paraId="401C0B9E" w14:textId="77777777" w:rsidR="005F333A" w:rsidRPr="005F333A" w:rsidRDefault="005F333A" w:rsidP="005F333A">
            <w:pPr>
              <w:rPr>
                <w:bCs/>
              </w:rPr>
            </w:pPr>
            <w:r w:rsidRPr="005F333A">
              <w:rPr>
                <w:bCs/>
              </w:rPr>
              <w:t>Empréstimos bancários</w:t>
            </w:r>
          </w:p>
        </w:tc>
        <w:tc>
          <w:tcPr>
            <w:tcW w:w="1418" w:type="dxa"/>
            <w:shd w:val="clear" w:color="auto" w:fill="D9E2F3" w:themeFill="accent1" w:themeFillTint="33"/>
            <w:vAlign w:val="center"/>
          </w:tcPr>
          <w:p w14:paraId="0EF67AED" w14:textId="77777777" w:rsidR="005F333A" w:rsidRPr="005F333A" w:rsidRDefault="005F333A" w:rsidP="005F333A">
            <w:pPr>
              <w:rPr>
                <w:bCs/>
              </w:rPr>
            </w:pPr>
          </w:p>
        </w:tc>
        <w:tc>
          <w:tcPr>
            <w:tcW w:w="1418" w:type="dxa"/>
            <w:shd w:val="clear" w:color="auto" w:fill="D9E2F3" w:themeFill="accent1" w:themeFillTint="33"/>
            <w:vAlign w:val="center"/>
          </w:tcPr>
          <w:p w14:paraId="20D6975D" w14:textId="77777777" w:rsidR="005F333A" w:rsidRPr="005F333A" w:rsidRDefault="005F333A" w:rsidP="005F333A">
            <w:pPr>
              <w:rPr>
                <w:bCs/>
              </w:rPr>
            </w:pPr>
            <w:r w:rsidRPr="005F333A">
              <w:rPr>
                <w:bCs/>
              </w:rPr>
              <w:t>+</w:t>
            </w:r>
          </w:p>
        </w:tc>
      </w:tr>
    </w:tbl>
    <w:p w14:paraId="4821342C" w14:textId="60E72996" w:rsidR="005F333A" w:rsidRPr="005F333A" w:rsidRDefault="005F333A" w:rsidP="005F333A">
      <w:r w:rsidRPr="005F333A">
        <w:t xml:space="preserve">Fonte: Informação adaptada de “Guide to </w:t>
      </w:r>
      <w:proofErr w:type="spellStart"/>
      <w:r w:rsidRPr="005F333A">
        <w:t>Cost-Benefit</w:t>
      </w:r>
      <w:proofErr w:type="spellEnd"/>
      <w:r w:rsidRPr="005F333A">
        <w:t xml:space="preserve"> </w:t>
      </w:r>
      <w:proofErr w:type="spellStart"/>
      <w:r w:rsidRPr="005F333A">
        <w:t>Analysis</w:t>
      </w:r>
      <w:proofErr w:type="spellEnd"/>
      <w:r w:rsidRPr="005F333A">
        <w:t xml:space="preserve"> </w:t>
      </w:r>
      <w:proofErr w:type="spellStart"/>
      <w:r w:rsidRPr="005F333A">
        <w:t>of</w:t>
      </w:r>
      <w:proofErr w:type="spellEnd"/>
      <w:r w:rsidRPr="005F333A">
        <w:t xml:space="preserve"> </w:t>
      </w:r>
      <w:proofErr w:type="spellStart"/>
      <w:r w:rsidRPr="005F333A">
        <w:t>Investment</w:t>
      </w:r>
      <w:proofErr w:type="spellEnd"/>
      <w:r w:rsidRPr="005F333A">
        <w:t xml:space="preserve"> </w:t>
      </w:r>
      <w:proofErr w:type="spellStart"/>
      <w:r w:rsidRPr="005F333A">
        <w:t>Projects</w:t>
      </w:r>
      <w:proofErr w:type="spellEnd"/>
      <w:r w:rsidRPr="005F333A">
        <w:t xml:space="preserve"> – </w:t>
      </w:r>
      <w:proofErr w:type="spellStart"/>
      <w:r w:rsidRPr="005F333A">
        <w:t>December</w:t>
      </w:r>
      <w:proofErr w:type="spellEnd"/>
      <w:r w:rsidRPr="005F333A">
        <w:t xml:space="preserve"> 2014” – Comissão Europeia</w:t>
      </w:r>
    </w:p>
    <w:p w14:paraId="3CDB68C8" w14:textId="77777777" w:rsidR="005F333A" w:rsidRPr="005F333A" w:rsidRDefault="005F333A" w:rsidP="005F333A">
      <w:pPr>
        <w:numPr>
          <w:ilvl w:val="2"/>
          <w:numId w:val="1"/>
        </w:numPr>
        <w:spacing w:before="120" w:line="360" w:lineRule="auto"/>
        <w:contextualSpacing/>
        <w:jc w:val="both"/>
        <w:rPr>
          <w:b/>
          <w:bCs/>
        </w:rPr>
      </w:pPr>
      <w:bookmarkStart w:id="28" w:name="_Toc136629404"/>
      <w:r w:rsidRPr="005F333A">
        <w:rPr>
          <w:b/>
          <w:bCs/>
        </w:rPr>
        <w:t>Custo do Investimento, Custos de Substituição e Valor Residual</w:t>
      </w:r>
      <w:bookmarkEnd w:id="28"/>
    </w:p>
    <w:p w14:paraId="484F909B" w14:textId="77777777" w:rsidR="005F333A" w:rsidRPr="005F333A" w:rsidRDefault="005F333A" w:rsidP="005F333A">
      <w:pPr>
        <w:spacing w:before="120" w:line="360" w:lineRule="auto"/>
        <w:contextualSpacing/>
        <w:jc w:val="both"/>
      </w:pPr>
      <w:r w:rsidRPr="005F333A">
        <w:t>O primeiro passo na Análise Financeira é a determinação do montante e da repartição do custo total do investimento ao longo do período de referência do projeto. Os custos de investimento são classificados por:</w:t>
      </w:r>
    </w:p>
    <w:p w14:paraId="2F6B5CE2" w14:textId="77777777" w:rsidR="005F333A" w:rsidRPr="005F333A" w:rsidRDefault="005F333A" w:rsidP="005F333A">
      <w:pPr>
        <w:numPr>
          <w:ilvl w:val="0"/>
          <w:numId w:val="11"/>
        </w:numPr>
        <w:spacing w:before="120" w:line="360" w:lineRule="auto"/>
        <w:contextualSpacing/>
        <w:jc w:val="both"/>
      </w:pPr>
      <w:r w:rsidRPr="005F333A">
        <w:rPr>
          <w:b/>
          <w:bCs/>
        </w:rPr>
        <w:t xml:space="preserve">Investimento inicial: </w:t>
      </w:r>
      <w:r w:rsidRPr="005F333A">
        <w:t xml:space="preserve">inclui os custos de capital de todos os ativos fixos tangíveis (por exemplo, terrenos, edifícios e outras construções, equipamentos, etc.) e ativos intangíveis (por exemplo, estudos técnicos, projetos de execução, outros custos de preparação, publicidade, assistência técnica, fiscalização de empreitadas, etc.), assim como as variações de fundo de maneio, se devidamente justificado. As informações devem ser retiradas dos estudos técnicos e os dados a considerar são os desembolsos de caixa incrementais ocorridos </w:t>
      </w:r>
      <w:r w:rsidRPr="005F333A">
        <w:lastRenderedPageBreak/>
        <w:t>nos períodos contabilísticos (normalmente anos) para adquirir os vários tipos de ativos. A repartição dos custos ao longo dos anos deve ser consistente com as realizações físicas previstas e o cronograma de implementação do projeto. Quando relevante, o investimento inicial também deve incluir os custos de implementação das medidas de minimização de impacte ambiental e/ou de mitigação das mudanças climáticas durante a fase de construção.</w:t>
      </w:r>
    </w:p>
    <w:p w14:paraId="44D70405" w14:textId="77777777" w:rsidR="005F333A" w:rsidRPr="005F333A" w:rsidRDefault="005F333A" w:rsidP="005F333A">
      <w:pPr>
        <w:spacing w:before="120" w:line="360" w:lineRule="auto"/>
        <w:contextualSpacing/>
        <w:jc w:val="both"/>
      </w:pPr>
    </w:p>
    <w:p w14:paraId="07C21D52" w14:textId="77777777" w:rsidR="005F333A" w:rsidRPr="005F333A" w:rsidRDefault="005F333A" w:rsidP="005F333A">
      <w:pPr>
        <w:numPr>
          <w:ilvl w:val="0"/>
          <w:numId w:val="11"/>
        </w:numPr>
        <w:spacing w:before="120" w:line="360" w:lineRule="auto"/>
        <w:contextualSpacing/>
        <w:jc w:val="both"/>
      </w:pPr>
      <w:r w:rsidRPr="005F333A">
        <w:rPr>
          <w:b/>
          <w:bCs/>
        </w:rPr>
        <w:t>Custos de substituição:</w:t>
      </w:r>
      <w:r w:rsidRPr="005F333A">
        <w:t xml:space="preserve"> Inclui os custos de substituição dos equipamentos que asseguram o funcionamento técnico da operação, devendo a projeção dos mesmos ser realizada em conformidade com as vidas úteis suportadas pela documentação técnica dos respetivos equipamentos.</w:t>
      </w:r>
    </w:p>
    <w:p w14:paraId="3CEB7CAD" w14:textId="77777777" w:rsidR="005F333A" w:rsidRPr="005F333A" w:rsidRDefault="005F333A" w:rsidP="005F333A">
      <w:pPr>
        <w:spacing w:before="120" w:line="360" w:lineRule="auto"/>
        <w:contextualSpacing/>
        <w:jc w:val="both"/>
      </w:pPr>
      <w:r w:rsidRPr="005F333A">
        <w:t>É preferível não considerar os fluxos de caixa para as grandes substituições perto do final do período de referência, sendo recomendada a adoção das seguintes alternativas:</w:t>
      </w:r>
    </w:p>
    <w:p w14:paraId="311AC0EE" w14:textId="77777777" w:rsidR="005F333A" w:rsidRPr="005F333A" w:rsidRDefault="005F333A" w:rsidP="005F333A">
      <w:pPr>
        <w:numPr>
          <w:ilvl w:val="1"/>
          <w:numId w:val="12"/>
        </w:numPr>
        <w:spacing w:before="120" w:line="360" w:lineRule="auto"/>
        <w:contextualSpacing/>
        <w:jc w:val="both"/>
      </w:pPr>
      <w:r w:rsidRPr="005F333A">
        <w:t>Diminuir o período de referência para coincidir com o fim da vida útil do grande ativo que necessita de ser substituído;</w:t>
      </w:r>
    </w:p>
    <w:p w14:paraId="6A683A42" w14:textId="77777777" w:rsidR="005F333A" w:rsidRPr="005F333A" w:rsidRDefault="005F333A" w:rsidP="005F333A">
      <w:pPr>
        <w:numPr>
          <w:ilvl w:val="1"/>
          <w:numId w:val="12"/>
        </w:numPr>
        <w:spacing w:before="120" w:line="360" w:lineRule="auto"/>
        <w:contextualSpacing/>
        <w:jc w:val="both"/>
      </w:pPr>
      <w:r w:rsidRPr="005F333A">
        <w:t>Adiar a substituição para depois do final do período de referência e assumir um aumento do custo anual de manutenção do ativo até ao final desse período.</w:t>
      </w:r>
    </w:p>
    <w:tbl>
      <w:tblPr>
        <w:tblStyle w:val="TabelacomGrelha"/>
        <w:tblW w:w="0" w:type="auto"/>
        <w:tblLook w:val="04A0" w:firstRow="1" w:lastRow="0" w:firstColumn="1" w:lastColumn="0" w:noHBand="0" w:noVBand="1"/>
      </w:tblPr>
      <w:tblGrid>
        <w:gridCol w:w="8779"/>
      </w:tblGrid>
      <w:tr w:rsidR="005F333A" w:rsidRPr="005F333A" w14:paraId="19B698FC" w14:textId="77777777" w:rsidTr="001D647C">
        <w:tc>
          <w:tcPr>
            <w:tcW w:w="8779" w:type="dxa"/>
            <w:shd w:val="clear" w:color="auto" w:fill="F2F2F2" w:themeFill="background1" w:themeFillShade="F2"/>
          </w:tcPr>
          <w:p w14:paraId="3B8FE0FA" w14:textId="77777777" w:rsidR="005F333A" w:rsidRPr="005F333A" w:rsidRDefault="005F333A" w:rsidP="005F333A">
            <w:pPr>
              <w:spacing w:before="120" w:after="160" w:line="360" w:lineRule="auto"/>
              <w:contextualSpacing/>
              <w:jc w:val="both"/>
            </w:pPr>
            <w:r w:rsidRPr="005F333A">
              <w:rPr>
                <w:b/>
                <w:bCs/>
              </w:rPr>
              <w:t>Custo de investimento evitado no “</w:t>
            </w:r>
            <w:r w:rsidRPr="005F333A">
              <w:rPr>
                <w:b/>
                <w:bCs/>
                <w:i/>
                <w:iCs/>
              </w:rPr>
              <w:t xml:space="preserve">cenário </w:t>
            </w:r>
            <w:proofErr w:type="spellStart"/>
            <w:r w:rsidRPr="005F333A">
              <w:rPr>
                <w:b/>
                <w:bCs/>
                <w:i/>
                <w:iCs/>
              </w:rPr>
              <w:t>contrafactual</w:t>
            </w:r>
            <w:proofErr w:type="spellEnd"/>
            <w:r w:rsidRPr="005F333A">
              <w:rPr>
                <w:b/>
                <w:bCs/>
              </w:rPr>
              <w:t xml:space="preserve">”: </w:t>
            </w:r>
            <w:r w:rsidRPr="005F333A">
              <w:t>De acordo com a abordagem incremental, os custos de investimento devem ser considerados líquidos de perdas de capital evitadas no “</w:t>
            </w:r>
            <w:r w:rsidRPr="005F333A">
              <w:rPr>
                <w:i/>
                <w:iCs/>
              </w:rPr>
              <w:t xml:space="preserve">cenário </w:t>
            </w:r>
            <w:proofErr w:type="spellStart"/>
            <w:r w:rsidRPr="005F333A">
              <w:rPr>
                <w:i/>
                <w:iCs/>
              </w:rPr>
              <w:t>contrafactual</w:t>
            </w:r>
            <w:proofErr w:type="spellEnd"/>
            <w:r w:rsidRPr="005F333A">
              <w:rPr>
                <w:i/>
                <w:iCs/>
              </w:rPr>
              <w:t>”.</w:t>
            </w:r>
            <w:r w:rsidRPr="005F333A">
              <w:t xml:space="preserve"> Estes custos baseiam-se no pressuposto de que, sem o investimento, já não existe uma situação exequível, sendo necessário implementar outras intervenções que permitam garantir um nível mínimo de prestação de serviços (“</w:t>
            </w:r>
            <w:r w:rsidRPr="005F333A">
              <w:rPr>
                <w:i/>
                <w:iCs/>
              </w:rPr>
              <w:t>cenário do-</w:t>
            </w:r>
            <w:proofErr w:type="spellStart"/>
            <w:r w:rsidRPr="005F333A">
              <w:rPr>
                <w:i/>
                <w:iCs/>
              </w:rPr>
              <w:t>minimum</w:t>
            </w:r>
            <w:proofErr w:type="spellEnd"/>
            <w:r w:rsidRPr="005F333A">
              <w:rPr>
                <w:i/>
                <w:iCs/>
              </w:rPr>
              <w:t xml:space="preserve">”). </w:t>
            </w:r>
            <w:r w:rsidRPr="005F333A">
              <w:t>Por exemplo, no setor elétrico, pode ser necessária uma nova subestação para satisfazer o aumento de carga na ausência de uma nova linha. Este custo deve ser incluído no “</w:t>
            </w:r>
            <w:r w:rsidRPr="005F333A">
              <w:rPr>
                <w:i/>
                <w:iCs/>
              </w:rPr>
              <w:t xml:space="preserve">cenário </w:t>
            </w:r>
            <w:proofErr w:type="spellStart"/>
            <w:r w:rsidRPr="005F333A">
              <w:rPr>
                <w:i/>
                <w:iCs/>
              </w:rPr>
              <w:t>contrafactual</w:t>
            </w:r>
            <w:proofErr w:type="spellEnd"/>
            <w:r w:rsidRPr="005F333A">
              <w:rPr>
                <w:i/>
                <w:iCs/>
              </w:rPr>
              <w:t>”.</w:t>
            </w:r>
          </w:p>
        </w:tc>
      </w:tr>
    </w:tbl>
    <w:p w14:paraId="0D17BDF0" w14:textId="77777777" w:rsidR="005F333A" w:rsidRPr="005F333A" w:rsidRDefault="005F333A" w:rsidP="005F333A">
      <w:pPr>
        <w:spacing w:before="120" w:line="360" w:lineRule="auto"/>
        <w:contextualSpacing/>
        <w:jc w:val="both"/>
        <w:rPr>
          <w:b/>
          <w:bCs/>
        </w:rPr>
      </w:pPr>
    </w:p>
    <w:p w14:paraId="62DE511D" w14:textId="77777777" w:rsidR="005F333A" w:rsidRPr="005F333A" w:rsidRDefault="005F333A" w:rsidP="005F333A">
      <w:pPr>
        <w:spacing w:before="120" w:line="360" w:lineRule="auto"/>
        <w:contextualSpacing/>
        <w:jc w:val="both"/>
      </w:pPr>
      <w:r w:rsidRPr="005F333A">
        <w:rPr>
          <w:b/>
          <w:bCs/>
        </w:rPr>
        <w:t xml:space="preserve">Valor Residual: </w:t>
      </w:r>
      <w:r w:rsidRPr="005F333A">
        <w:t xml:space="preserve">O valor residual reflete o potencial de serviço dos ativos fixos tangíveis cuja vida útil económica excede o período de referência, e equivale ao valor do investimento no final do respetivo período. </w:t>
      </w:r>
    </w:p>
    <w:p w14:paraId="05DAB6D5" w14:textId="77777777" w:rsidR="005F333A" w:rsidRPr="005F333A" w:rsidRDefault="005F333A" w:rsidP="005F333A">
      <w:pPr>
        <w:spacing w:before="120" w:line="360" w:lineRule="auto"/>
        <w:contextualSpacing/>
        <w:jc w:val="both"/>
      </w:pPr>
      <w:r w:rsidRPr="005F333A">
        <w:t>Tratando-se de uma operação geradora de receita operacional líquida positiva, o valor residual do investimento deve ser calculado, preferencialmente, tendo por base o valor atualizado das receitas operacionais líquidas esperadas (Método do Cálculo da Receita Líquida Atualizada), entre o fim do período de referência e o fim da vida útil do investimento com maior duração. Neste caso, se após este período a receita líquida atualizada for negativa, o valor residual deverá ser igualado a zero.</w:t>
      </w:r>
    </w:p>
    <w:p w14:paraId="32A4AF12" w14:textId="77777777" w:rsidR="005F333A" w:rsidRPr="005F333A" w:rsidRDefault="005F333A" w:rsidP="005F333A">
      <w:pPr>
        <w:spacing w:before="120" w:line="360" w:lineRule="auto"/>
        <w:contextualSpacing/>
        <w:jc w:val="both"/>
        <w:rPr>
          <w:i/>
          <w:iCs/>
        </w:rPr>
      </w:pPr>
    </w:p>
    <w:p w14:paraId="72DD0706" w14:textId="77777777" w:rsidR="005F333A" w:rsidRPr="005F333A" w:rsidRDefault="005F333A" w:rsidP="005F333A">
      <w:pPr>
        <w:spacing w:before="120" w:line="360" w:lineRule="auto"/>
        <w:contextualSpacing/>
        <w:jc w:val="both"/>
        <w:rPr>
          <w:i/>
          <w:iCs/>
        </w:rPr>
      </w:pPr>
      <w:bookmarkStart w:id="29" w:name="_Toc135994797"/>
      <w:r w:rsidRPr="005F333A">
        <w:rPr>
          <w:i/>
          <w:iCs/>
        </w:rPr>
        <w:t xml:space="preserve">Figura </w:t>
      </w:r>
      <w:r w:rsidRPr="005F333A">
        <w:rPr>
          <w:i/>
          <w:iCs/>
        </w:rPr>
        <w:fldChar w:fldCharType="begin"/>
      </w:r>
      <w:r w:rsidRPr="005F333A">
        <w:rPr>
          <w:i/>
          <w:iCs/>
        </w:rPr>
        <w:instrText xml:space="preserve"> SEQ Figura \* ARABIC </w:instrText>
      </w:r>
      <w:r w:rsidRPr="005F333A">
        <w:rPr>
          <w:i/>
          <w:iCs/>
        </w:rPr>
        <w:fldChar w:fldCharType="separate"/>
      </w:r>
      <w:r w:rsidRPr="005F333A">
        <w:rPr>
          <w:i/>
          <w:iCs/>
        </w:rPr>
        <w:t>2</w:t>
      </w:r>
      <w:r w:rsidRPr="005F333A">
        <w:fldChar w:fldCharType="end"/>
      </w:r>
      <w:r w:rsidRPr="005F333A">
        <w:rPr>
          <w:i/>
          <w:iCs/>
        </w:rPr>
        <w:t xml:space="preserve"> - Período para o Cálculo do Valor Residual</w:t>
      </w:r>
      <w:bookmarkEnd w:id="29"/>
      <w:r w:rsidRPr="005F333A">
        <w:rPr>
          <w:i/>
          <w:iCs/>
        </w:rPr>
        <w:tab/>
      </w:r>
      <w:r w:rsidRPr="005F333A">
        <w:rPr>
          <w:i/>
          <w:iCs/>
        </w:rPr>
        <w:tab/>
      </w:r>
      <w:r w:rsidRPr="005F333A">
        <w:rPr>
          <w:i/>
          <w:iCs/>
        </w:rPr>
        <w:tab/>
      </w:r>
      <w:r w:rsidRPr="005F333A">
        <w:rPr>
          <w:i/>
          <w:iCs/>
        </w:rPr>
        <w:tab/>
      </w:r>
    </w:p>
    <w:tbl>
      <w:tblPr>
        <w:tblStyle w:val="TabelacomGrelha"/>
        <w:tblW w:w="8542" w:type="dxa"/>
        <w:tblBorders>
          <w:top w:val="none" w:sz="0" w:space="0" w:color="auto"/>
        </w:tblBorders>
        <w:tblLook w:val="04A0" w:firstRow="1" w:lastRow="0" w:firstColumn="1" w:lastColumn="0" w:noHBand="0" w:noVBand="1"/>
      </w:tblPr>
      <w:tblGrid>
        <w:gridCol w:w="6124"/>
        <w:gridCol w:w="2418"/>
      </w:tblGrid>
      <w:tr w:rsidR="005F333A" w:rsidRPr="005F333A" w14:paraId="0E16AE78" w14:textId="77777777" w:rsidTr="005F333A">
        <w:trPr>
          <w:trHeight w:hRule="exact" w:val="737"/>
        </w:trPr>
        <w:tc>
          <w:tcPr>
            <w:tcW w:w="6124" w:type="dxa"/>
            <w:shd w:val="clear" w:color="auto" w:fill="D9D9D9" w:themeFill="background1" w:themeFillShade="D9"/>
            <w:vAlign w:val="center"/>
          </w:tcPr>
          <w:p w14:paraId="246367F1" w14:textId="77777777" w:rsidR="005F333A" w:rsidRPr="005F333A" w:rsidRDefault="005F333A" w:rsidP="005F333A">
            <w:pPr>
              <w:spacing w:before="120" w:after="160" w:line="360" w:lineRule="auto"/>
              <w:contextualSpacing/>
              <w:jc w:val="both"/>
            </w:pPr>
            <w:r w:rsidRPr="005F333A">
              <w:lastRenderedPageBreak/>
              <w:t>Período de referência</w:t>
            </w:r>
          </w:p>
        </w:tc>
        <w:tc>
          <w:tcPr>
            <w:tcW w:w="2418" w:type="dxa"/>
            <w:vAlign w:val="center"/>
          </w:tcPr>
          <w:p w14:paraId="14975EA5" w14:textId="77777777" w:rsidR="005F333A" w:rsidRPr="005F333A" w:rsidRDefault="005F333A" w:rsidP="005F333A">
            <w:pPr>
              <w:spacing w:before="120" w:after="160" w:line="360" w:lineRule="auto"/>
              <w:contextualSpacing/>
              <w:jc w:val="both"/>
            </w:pPr>
            <w:r w:rsidRPr="005F333A">
              <w:t>Período para o cálculo do valor residual</w:t>
            </w:r>
          </w:p>
        </w:tc>
      </w:tr>
    </w:tbl>
    <w:p w14:paraId="172FF2DC" w14:textId="77777777" w:rsidR="005F333A" w:rsidRPr="005F333A" w:rsidRDefault="005F333A" w:rsidP="005F333A">
      <w:pPr>
        <w:spacing w:before="120" w:line="360" w:lineRule="auto"/>
        <w:contextualSpacing/>
        <w:jc w:val="both"/>
      </w:pPr>
      <w:r w:rsidRPr="005F333A">
        <w:rPr>
          <w:noProof/>
        </w:rPr>
        <mc:AlternateContent>
          <mc:Choice Requires="wps">
            <w:drawing>
              <wp:anchor distT="0" distB="0" distL="114300" distR="114300" simplePos="0" relativeHeight="251659264" behindDoc="0" locked="0" layoutInCell="1" allowOverlap="1" wp14:anchorId="78FD16B1" wp14:editId="205C7CA3">
                <wp:simplePos x="0" y="0"/>
                <wp:positionH relativeFrom="column">
                  <wp:posOffset>12065</wp:posOffset>
                </wp:positionH>
                <wp:positionV relativeFrom="paragraph">
                  <wp:posOffset>145827</wp:posOffset>
                </wp:positionV>
                <wp:extent cx="5421086" cy="0"/>
                <wp:effectExtent l="0" t="95250" r="0" b="95250"/>
                <wp:wrapNone/>
                <wp:docPr id="2105387521" name="Conexão reta unidirecional 3"/>
                <wp:cNvGraphicFramePr/>
                <a:graphic xmlns:a="http://schemas.openxmlformats.org/drawingml/2006/main">
                  <a:graphicData uri="http://schemas.microsoft.com/office/word/2010/wordprocessingShape">
                    <wps:wsp>
                      <wps:cNvCnPr/>
                      <wps:spPr>
                        <a:xfrm>
                          <a:off x="0" y="0"/>
                          <a:ext cx="5421086" cy="0"/>
                        </a:xfrm>
                        <a:prstGeom prst="straightConnector1">
                          <a:avLst/>
                        </a:prstGeom>
                        <a:ln w="3492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E5E5ACF" id="_x0000_t32" coordsize="21600,21600" o:spt="32" o:oned="t" path="m,l21600,21600e" filled="f">
                <v:path arrowok="t" fillok="f" o:connecttype="none"/>
                <o:lock v:ext="edit" shapetype="t"/>
              </v:shapetype>
              <v:shape id="Conexão reta unidirecional 3" o:spid="_x0000_s1026" type="#_x0000_t32" style="position:absolute;margin-left:.95pt;margin-top:11.5pt;width:426.8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" strokecolor="#4472c4 [3204]" strokeweight="2.75pt">
                <v:stroke endarrow="block" joinstyle="miter"/>
              </v:shape>
            </w:pict>
          </mc:Fallback>
        </mc:AlternateContent>
      </w:r>
      <w:r w:rsidRPr="005F333A">
        <w:tab/>
      </w:r>
    </w:p>
    <w:p w14:paraId="25849D6B" w14:textId="77777777" w:rsidR="005F333A" w:rsidRPr="005F333A" w:rsidRDefault="005F333A" w:rsidP="005F333A">
      <w:pPr>
        <w:spacing w:before="120" w:line="360" w:lineRule="auto"/>
        <w:contextualSpacing/>
        <w:jc w:val="both"/>
      </w:pPr>
      <w:r w:rsidRPr="005F333A">
        <w:t>Vida útil do ativo fixo com maior duração</w:t>
      </w:r>
    </w:p>
    <w:p w14:paraId="6B97CDE3" w14:textId="77777777" w:rsidR="005F333A" w:rsidRPr="005F333A" w:rsidRDefault="005F333A" w:rsidP="005F333A">
      <w:pPr>
        <w:spacing w:before="120" w:line="360" w:lineRule="auto"/>
        <w:contextualSpacing/>
        <w:jc w:val="both"/>
      </w:pPr>
    </w:p>
    <w:p w14:paraId="39C26A43" w14:textId="77777777" w:rsidR="005F333A" w:rsidRPr="005F333A" w:rsidRDefault="005F333A" w:rsidP="005F333A">
      <w:pPr>
        <w:spacing w:before="120" w:line="360" w:lineRule="auto"/>
        <w:contextualSpacing/>
        <w:jc w:val="both"/>
      </w:pPr>
      <w:r w:rsidRPr="005F333A">
        <w:t>Podem ainda ser utilizados outros métodos de cálculo do valor residual, em circunstâncias devidamente justificadas, designadamente, com base no valor de mercado dos ativos (considerando os custos de substituição) ou no valor contabilístico das respetivas componentes de investimento.</w:t>
      </w:r>
    </w:p>
    <w:p w14:paraId="72735C49" w14:textId="77777777" w:rsidR="005F333A" w:rsidRPr="005F333A" w:rsidRDefault="005F333A" w:rsidP="005F333A">
      <w:pPr>
        <w:spacing w:before="120" w:line="360" w:lineRule="auto"/>
        <w:contextualSpacing/>
        <w:jc w:val="both"/>
      </w:pPr>
    </w:p>
    <w:p w14:paraId="4EA85574" w14:textId="77777777" w:rsidR="005F333A" w:rsidRPr="005F333A" w:rsidRDefault="005F333A" w:rsidP="005F333A">
      <w:pPr>
        <w:numPr>
          <w:ilvl w:val="2"/>
          <w:numId w:val="1"/>
        </w:numPr>
        <w:spacing w:before="120" w:line="360" w:lineRule="auto"/>
        <w:contextualSpacing/>
        <w:jc w:val="both"/>
        <w:rPr>
          <w:b/>
          <w:bCs/>
        </w:rPr>
      </w:pPr>
      <w:bookmarkStart w:id="30" w:name="_Toc136629405"/>
      <w:r w:rsidRPr="005F333A">
        <w:rPr>
          <w:b/>
          <w:bCs/>
        </w:rPr>
        <w:t>Custos e Receitas Operacionais</w:t>
      </w:r>
      <w:bookmarkEnd w:id="30"/>
    </w:p>
    <w:p w14:paraId="2AE32393" w14:textId="77777777" w:rsidR="005F333A" w:rsidRPr="005F333A" w:rsidRDefault="005F333A" w:rsidP="005F333A">
      <w:pPr>
        <w:spacing w:before="120" w:line="360" w:lineRule="auto"/>
        <w:contextualSpacing/>
        <w:jc w:val="both"/>
      </w:pPr>
      <w:r w:rsidRPr="005F333A">
        <w:t xml:space="preserve">Os </w:t>
      </w:r>
      <w:r w:rsidRPr="005F333A">
        <w:rPr>
          <w:b/>
          <w:bCs/>
        </w:rPr>
        <w:t>custos operacionais</w:t>
      </w:r>
      <w:r w:rsidRPr="005F333A">
        <w:t xml:space="preserve"> incluem todos os custos necessários para a operacionalização e a manutenção dos ativos fixos tangíveis considerados na análise. As projeções destes custos devem ser baseadas em custos unitários históricos, quando os padrões dos custos de operação e de manutenção asseguram níveis de qualidade adequados. Os pressupostos utilizados devem estar suficientemente documentados com base nos apuramentos da contabilidade geral e analítica, podendo ser comprovados e auditados.</w:t>
      </w:r>
    </w:p>
    <w:p w14:paraId="66D88F79" w14:textId="77777777" w:rsidR="005F333A" w:rsidRPr="005F333A" w:rsidRDefault="005F333A" w:rsidP="005F333A">
      <w:pPr>
        <w:spacing w:before="120" w:line="360" w:lineRule="auto"/>
        <w:contextualSpacing/>
        <w:jc w:val="both"/>
      </w:pPr>
      <w:r w:rsidRPr="005F333A">
        <w:t>Para efeitos do cálculo da rentabilidade financeira do investimento, devem ser tidos em conta os seguintes custos que ocorram durante a fase operacional do projeto:</w:t>
      </w:r>
    </w:p>
    <w:p w14:paraId="1D050354" w14:textId="77777777" w:rsidR="005F333A" w:rsidRPr="005F333A" w:rsidRDefault="005F333A" w:rsidP="005F333A">
      <w:pPr>
        <w:numPr>
          <w:ilvl w:val="0"/>
          <w:numId w:val="5"/>
        </w:numPr>
        <w:spacing w:before="120" w:line="360" w:lineRule="auto"/>
        <w:contextualSpacing/>
        <w:jc w:val="both"/>
      </w:pPr>
      <w:r w:rsidRPr="005F333A">
        <w:t>Custos fixos (para uma dada capacidade, não variam em função do volume dos bens/serviços prestados): gastos com o pessoal, rendas, alugueres, seguros, gestão e administração geral, manutenção e reparação, etc.</w:t>
      </w:r>
    </w:p>
    <w:p w14:paraId="645D7658" w14:textId="77777777" w:rsidR="005F333A" w:rsidRPr="005F333A" w:rsidRDefault="005F333A" w:rsidP="005F333A">
      <w:pPr>
        <w:numPr>
          <w:ilvl w:val="0"/>
          <w:numId w:val="5"/>
        </w:numPr>
        <w:spacing w:before="120" w:line="360" w:lineRule="auto"/>
        <w:contextualSpacing/>
        <w:jc w:val="both"/>
      </w:pPr>
      <w:r w:rsidRPr="005F333A">
        <w:t xml:space="preserve">Custos variáveis (para uma dada capacidade, variam em função do volume dos bens/serviços prestados): custo de matérias-primas, energia, consumíveis, reparação, etc. </w:t>
      </w:r>
    </w:p>
    <w:p w14:paraId="7091FD16" w14:textId="77777777" w:rsidR="005F333A" w:rsidRPr="005F333A" w:rsidRDefault="005F333A" w:rsidP="005F333A">
      <w:pPr>
        <w:spacing w:before="120" w:line="360" w:lineRule="auto"/>
        <w:contextualSpacing/>
        <w:jc w:val="both"/>
      </w:pPr>
      <w:r w:rsidRPr="005F333A">
        <w:t xml:space="preserve">Quando são esperadas variações significativas face à inflação média nos preços de alguns itens, esse diferencial deve ser levado em consideração nas projeções dos fluxos de caixa correspondentes. Uma vez que existe uma grande incerteza sobre a evolução dos preços no longo prazo, a aplicação de variações de preços relativos deve ser o resultado de uma análise adequada e devem ser fornecidas as evidências de apoio para a taxa de crescimento dos preços. </w:t>
      </w:r>
    </w:p>
    <w:p w14:paraId="2BA71D25" w14:textId="77777777" w:rsidR="005F333A" w:rsidRPr="005F333A" w:rsidRDefault="005F333A" w:rsidP="005F333A">
      <w:pPr>
        <w:spacing w:before="120" w:line="360" w:lineRule="auto"/>
        <w:contextualSpacing/>
        <w:jc w:val="both"/>
      </w:pPr>
      <w:r w:rsidRPr="005F333A">
        <w:t>O custo do financiamento (por exemplo, o pagamento de juros), apesar de ocorrer no período de exploração, não deve ser incluído nos custos de operacionais.</w:t>
      </w:r>
    </w:p>
    <w:p w14:paraId="4515DA80" w14:textId="77777777" w:rsidR="005F333A" w:rsidRPr="005F333A" w:rsidRDefault="005F333A" w:rsidP="005F333A">
      <w:pPr>
        <w:spacing w:before="120" w:line="360" w:lineRule="auto"/>
        <w:contextualSpacing/>
        <w:jc w:val="both"/>
      </w:pPr>
      <w:r w:rsidRPr="005F333A">
        <w:t xml:space="preserve">As </w:t>
      </w:r>
      <w:r w:rsidRPr="005F333A">
        <w:rPr>
          <w:b/>
          <w:bCs/>
        </w:rPr>
        <w:t>receitas operacionais</w:t>
      </w:r>
      <w:r w:rsidRPr="005F333A">
        <w:t xml:space="preserve"> do projeto são definidas como as que resultam de pagamentos diretos dos utilizadores pelos bens ou serviços prestados pela operação ou como encargos suportados diretamente pelo uso da infraestrutura. Estas receitas são determinadas em função dos valores previsionais para as quantidades dos bens/serviços e das projeções dos respetivos preços. As receitas incrementais podem resultar de aumentos nas quantidades vendidas, do nível de preços ou de </w:t>
      </w:r>
      <w:r w:rsidRPr="005F333A">
        <w:lastRenderedPageBreak/>
        <w:t>ambos. Os pressupostos utilizados devem estar suficientemente documentados, podendo ser comprovados e auditados.</w:t>
      </w:r>
    </w:p>
    <w:p w14:paraId="726C33F8" w14:textId="77777777" w:rsidR="005F333A" w:rsidRPr="005F333A" w:rsidRDefault="005F333A" w:rsidP="005F333A">
      <w:pPr>
        <w:spacing w:before="120" w:line="360" w:lineRule="auto"/>
        <w:contextualSpacing/>
        <w:jc w:val="both"/>
      </w:pPr>
      <w:r w:rsidRPr="005F333A">
        <w:t>As transferências ou subsídios (por exemplo, transferências do Orçamento de Estado ou da Administração Regional e Local), bem como outras receitas financeiras (por exemplo, juros de depósitos bancários), não devem ser incluídos nas receitas operacionais para o cálculo da rentabilidade financeira do investimento, mas sim, na análise da sustentabilidade financeira do projeto.</w:t>
      </w:r>
    </w:p>
    <w:p w14:paraId="3C129845" w14:textId="77777777" w:rsidR="005F333A" w:rsidRPr="005F333A" w:rsidRDefault="005F333A" w:rsidP="005F333A">
      <w:pPr>
        <w:spacing w:before="120" w:line="360" w:lineRule="auto"/>
        <w:contextualSpacing/>
        <w:jc w:val="both"/>
      </w:pPr>
      <w:r w:rsidRPr="005F333A">
        <w:t>Conforme evidenciado na tabela 4, as receitas líquidas operacionais do projeto correspondem à diferença entre os receitas operacionais e os custos operacionais, sendo estas apuradas para cada ano do período de referência considerado na análise. Para efeitos do cálculo da contribuição da União Europeia, as poupanças nos custos operacionais geradas pela operação devem tratadas como receitas, a menos que sejam compensadas por uma redução idêntica nos subsídios à exploração.</w:t>
      </w:r>
    </w:p>
    <w:p w14:paraId="30686D8D" w14:textId="77777777" w:rsidR="005F333A" w:rsidRPr="005F333A" w:rsidRDefault="005F333A" w:rsidP="005F333A">
      <w:pPr>
        <w:rPr>
          <w:i/>
          <w:iCs/>
        </w:rPr>
      </w:pPr>
      <w:bookmarkStart w:id="31" w:name="_Toc135994782"/>
      <w:r w:rsidRPr="005F333A">
        <w:rPr>
          <w:i/>
          <w:iCs/>
        </w:rPr>
        <w:t xml:space="preserve">Tabela </w:t>
      </w:r>
      <w:r w:rsidRPr="005F333A">
        <w:rPr>
          <w:i/>
          <w:iCs/>
        </w:rPr>
        <w:fldChar w:fldCharType="begin"/>
      </w:r>
      <w:r w:rsidRPr="005F333A">
        <w:rPr>
          <w:i/>
          <w:iCs/>
        </w:rPr>
        <w:instrText xml:space="preserve"> SEQ Tabela \* ARABIC </w:instrText>
      </w:r>
      <w:r w:rsidRPr="005F333A">
        <w:rPr>
          <w:i/>
          <w:iCs/>
        </w:rPr>
        <w:fldChar w:fldCharType="separate"/>
      </w:r>
      <w:r w:rsidRPr="005F333A">
        <w:rPr>
          <w:i/>
          <w:iCs/>
        </w:rPr>
        <w:t>4</w:t>
      </w:r>
      <w:r w:rsidRPr="005F333A">
        <w:fldChar w:fldCharType="end"/>
      </w:r>
      <w:r w:rsidRPr="005F333A">
        <w:rPr>
          <w:i/>
          <w:iCs/>
        </w:rPr>
        <w:t xml:space="preserve"> - Custos e Receitas Operacionais</w:t>
      </w:r>
      <w:bookmarkEnd w:id="31"/>
    </w:p>
    <w:p w14:paraId="313F95F0" w14:textId="77777777" w:rsidR="005F333A" w:rsidRPr="005F333A" w:rsidRDefault="005F333A" w:rsidP="005F333A">
      <w:r w:rsidRPr="005F333A">
        <w:rPr>
          <w:noProof/>
        </w:rPr>
        <w:drawing>
          <wp:inline distT="0" distB="0" distL="0" distR="0" wp14:anchorId="17264844" wp14:editId="32AF2462">
            <wp:extent cx="5671185" cy="1789430"/>
            <wp:effectExtent l="0" t="0" r="5715" b="1270"/>
            <wp:docPr id="1243812049"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1185" cy="1789430"/>
                    </a:xfrm>
                    <a:prstGeom prst="rect">
                      <a:avLst/>
                    </a:prstGeom>
                    <a:noFill/>
                    <a:ln>
                      <a:noFill/>
                    </a:ln>
                  </pic:spPr>
                </pic:pic>
              </a:graphicData>
            </a:graphic>
          </wp:inline>
        </w:drawing>
      </w:r>
    </w:p>
    <w:p w14:paraId="7DDFF4B3" w14:textId="77777777" w:rsidR="005F333A" w:rsidRPr="005F333A" w:rsidRDefault="005F333A" w:rsidP="005F333A">
      <w:pPr>
        <w:numPr>
          <w:ilvl w:val="2"/>
          <w:numId w:val="1"/>
        </w:numPr>
        <w:spacing w:before="120" w:line="360" w:lineRule="auto"/>
        <w:contextualSpacing/>
        <w:jc w:val="both"/>
        <w:rPr>
          <w:b/>
          <w:bCs/>
        </w:rPr>
      </w:pPr>
      <w:bookmarkStart w:id="32" w:name="_Toc136629406"/>
      <w:r w:rsidRPr="005F333A">
        <w:rPr>
          <w:b/>
          <w:bCs/>
        </w:rPr>
        <w:t>Fontes de Financiamento</w:t>
      </w:r>
      <w:bookmarkEnd w:id="32"/>
    </w:p>
    <w:p w14:paraId="13BB7522" w14:textId="77777777" w:rsidR="005F333A" w:rsidRPr="005F333A" w:rsidRDefault="005F333A" w:rsidP="005F333A">
      <w:pPr>
        <w:spacing w:before="120" w:line="360" w:lineRule="auto"/>
        <w:contextualSpacing/>
        <w:jc w:val="both"/>
      </w:pPr>
      <w:r w:rsidRPr="005F333A">
        <w:t>Considerando o enquadramento dos projetos cofinanciados pela União Europeia, as principais fontes de financiamento podem ser:</w:t>
      </w:r>
    </w:p>
    <w:p w14:paraId="198967CE" w14:textId="77777777" w:rsidR="005F333A" w:rsidRPr="005F333A" w:rsidRDefault="005F333A" w:rsidP="005F333A">
      <w:pPr>
        <w:numPr>
          <w:ilvl w:val="0"/>
          <w:numId w:val="5"/>
        </w:numPr>
        <w:spacing w:before="120" w:line="360" w:lineRule="auto"/>
        <w:contextualSpacing/>
        <w:jc w:val="both"/>
      </w:pPr>
      <w:r w:rsidRPr="005F333A">
        <w:t>Contribuição da União Europeia;</w:t>
      </w:r>
    </w:p>
    <w:p w14:paraId="47600421" w14:textId="77777777" w:rsidR="005F333A" w:rsidRPr="005F333A" w:rsidRDefault="005F333A" w:rsidP="005F333A">
      <w:pPr>
        <w:numPr>
          <w:ilvl w:val="0"/>
          <w:numId w:val="5"/>
        </w:numPr>
        <w:spacing w:before="120" w:line="360" w:lineRule="auto"/>
        <w:contextualSpacing/>
        <w:jc w:val="both"/>
      </w:pPr>
      <w:r w:rsidRPr="005F333A">
        <w:t xml:space="preserve">Contribuição Nacional (subsídios de capital ou à exploração a nível do Governo Central, </w:t>
      </w:r>
      <w:proofErr w:type="gramStart"/>
      <w:r w:rsidRPr="005F333A">
        <w:t>Regional</w:t>
      </w:r>
      <w:proofErr w:type="gramEnd"/>
      <w:r w:rsidRPr="005F333A">
        <w:t xml:space="preserve"> ou Local, caso se aplique);</w:t>
      </w:r>
    </w:p>
    <w:p w14:paraId="498B4BF7" w14:textId="77777777" w:rsidR="005F333A" w:rsidRPr="005F333A" w:rsidRDefault="005F333A" w:rsidP="005F333A">
      <w:pPr>
        <w:numPr>
          <w:ilvl w:val="0"/>
          <w:numId w:val="5"/>
        </w:numPr>
        <w:spacing w:before="120" w:line="360" w:lineRule="auto"/>
        <w:contextualSpacing/>
        <w:jc w:val="both"/>
      </w:pPr>
      <w:r w:rsidRPr="005F333A">
        <w:t>Contribuição do promotor do projeto (capitais próprios ou empréstimos bancários);</w:t>
      </w:r>
    </w:p>
    <w:p w14:paraId="7FEE24BC" w14:textId="77777777" w:rsidR="005F333A" w:rsidRPr="005F333A" w:rsidRDefault="005F333A" w:rsidP="005F333A">
      <w:pPr>
        <w:numPr>
          <w:ilvl w:val="0"/>
          <w:numId w:val="5"/>
        </w:numPr>
        <w:spacing w:before="120" w:line="360" w:lineRule="auto"/>
        <w:contextualSpacing/>
        <w:jc w:val="both"/>
      </w:pPr>
      <w:r w:rsidRPr="005F333A">
        <w:t>Contribuição privada ao abrigo de uma Pareceria Público-Privada (PPP).</w:t>
      </w:r>
    </w:p>
    <w:p w14:paraId="6E04309D" w14:textId="77777777" w:rsidR="005F333A" w:rsidRPr="005F333A" w:rsidRDefault="005F333A" w:rsidP="005F333A">
      <w:pPr>
        <w:spacing w:before="120" w:line="360" w:lineRule="auto"/>
        <w:contextualSpacing/>
        <w:jc w:val="both"/>
      </w:pPr>
      <w:r w:rsidRPr="005F333A">
        <w:t>Neste enquadramento, o empréstimo é uma entrada e é tratado como um recurso financeiro proveniente de terceiros.  A Tabela 5 evidencia um exemplo ilustrativo, incluindo as contribuições de investidores privados.</w:t>
      </w:r>
    </w:p>
    <w:p w14:paraId="31C9DBAA" w14:textId="77777777" w:rsidR="005F333A" w:rsidRPr="005F333A" w:rsidRDefault="005F333A" w:rsidP="005F333A">
      <w:pPr>
        <w:spacing w:before="120" w:line="360" w:lineRule="auto"/>
        <w:contextualSpacing/>
        <w:jc w:val="both"/>
        <w:rPr>
          <w:i/>
          <w:iCs/>
        </w:rPr>
      </w:pPr>
      <w:bookmarkStart w:id="33" w:name="_Toc135994783"/>
      <w:r w:rsidRPr="005F333A">
        <w:rPr>
          <w:i/>
          <w:iCs/>
        </w:rPr>
        <w:t xml:space="preserve">Tabela </w:t>
      </w:r>
      <w:r w:rsidRPr="005F333A">
        <w:rPr>
          <w:i/>
          <w:iCs/>
        </w:rPr>
        <w:fldChar w:fldCharType="begin"/>
      </w:r>
      <w:r w:rsidRPr="005F333A">
        <w:rPr>
          <w:i/>
          <w:iCs/>
        </w:rPr>
        <w:instrText xml:space="preserve"> SEQ Tabela \* ARABIC </w:instrText>
      </w:r>
      <w:r w:rsidRPr="005F333A">
        <w:rPr>
          <w:i/>
          <w:iCs/>
        </w:rPr>
        <w:fldChar w:fldCharType="separate"/>
      </w:r>
      <w:r w:rsidRPr="005F333A">
        <w:rPr>
          <w:i/>
          <w:iCs/>
        </w:rPr>
        <w:t>5</w:t>
      </w:r>
      <w:r w:rsidRPr="005F333A">
        <w:fldChar w:fldCharType="end"/>
      </w:r>
      <w:r w:rsidRPr="005F333A">
        <w:rPr>
          <w:i/>
          <w:iCs/>
        </w:rPr>
        <w:t xml:space="preserve"> – Fontes de Financiamento</w:t>
      </w:r>
      <w:bookmarkEnd w:id="33"/>
    </w:p>
    <w:p w14:paraId="27FCE080" w14:textId="77777777" w:rsidR="005F333A" w:rsidRPr="005F333A" w:rsidRDefault="005F333A" w:rsidP="005F333A">
      <w:pPr>
        <w:spacing w:before="120" w:line="360" w:lineRule="auto"/>
        <w:contextualSpacing/>
        <w:jc w:val="both"/>
        <w:rPr>
          <w:lang w:val="en-GB"/>
        </w:rPr>
      </w:pPr>
      <w:r w:rsidRPr="005F333A">
        <w:rPr>
          <w:noProof/>
        </w:rPr>
        <w:lastRenderedPageBreak/>
        <w:drawing>
          <wp:inline distT="0" distB="0" distL="0" distR="0" wp14:anchorId="0413889D" wp14:editId="7C6CADAC">
            <wp:extent cx="5671185" cy="1009015"/>
            <wp:effectExtent l="0" t="0" r="5715" b="635"/>
            <wp:docPr id="1850796959"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71185" cy="1009015"/>
                    </a:xfrm>
                    <a:prstGeom prst="rect">
                      <a:avLst/>
                    </a:prstGeom>
                    <a:noFill/>
                    <a:ln>
                      <a:noFill/>
                    </a:ln>
                  </pic:spPr>
                </pic:pic>
              </a:graphicData>
            </a:graphic>
          </wp:inline>
        </w:drawing>
      </w:r>
    </w:p>
    <w:p w14:paraId="2B3D5CE0" w14:textId="77777777" w:rsidR="005F333A" w:rsidRPr="005F333A" w:rsidRDefault="005F333A" w:rsidP="005F333A">
      <w:pPr>
        <w:spacing w:before="120" w:line="360" w:lineRule="auto"/>
        <w:contextualSpacing/>
        <w:jc w:val="both"/>
        <w:rPr>
          <w:lang w:val="en-GB"/>
        </w:rPr>
      </w:pPr>
    </w:p>
    <w:p w14:paraId="6C20D710" w14:textId="77777777" w:rsidR="005F333A" w:rsidRPr="005F333A" w:rsidRDefault="005F333A" w:rsidP="005F333A">
      <w:pPr>
        <w:spacing w:before="120" w:line="360" w:lineRule="auto"/>
        <w:contextualSpacing/>
        <w:jc w:val="both"/>
        <w:rPr>
          <w:lang w:val="en-GB"/>
        </w:rPr>
      </w:pPr>
    </w:p>
    <w:p w14:paraId="42E76AE9" w14:textId="77777777" w:rsidR="005F333A" w:rsidRPr="005F333A" w:rsidRDefault="005F333A" w:rsidP="005F333A">
      <w:pPr>
        <w:numPr>
          <w:ilvl w:val="2"/>
          <w:numId w:val="1"/>
        </w:numPr>
        <w:spacing w:before="120" w:line="360" w:lineRule="auto"/>
        <w:contextualSpacing/>
        <w:jc w:val="both"/>
        <w:rPr>
          <w:b/>
          <w:bCs/>
        </w:rPr>
      </w:pPr>
      <w:bookmarkStart w:id="34" w:name="_Toc136629407"/>
      <w:r w:rsidRPr="005F333A">
        <w:rPr>
          <w:b/>
          <w:bCs/>
        </w:rPr>
        <w:t>Rentabilidade Financeira do Investimento</w:t>
      </w:r>
      <w:bookmarkEnd w:id="34"/>
    </w:p>
    <w:p w14:paraId="42FD4E47" w14:textId="77777777" w:rsidR="005F333A" w:rsidRPr="005F333A" w:rsidRDefault="005F333A" w:rsidP="005F333A">
      <w:pPr>
        <w:spacing w:before="120" w:line="360" w:lineRule="auto"/>
        <w:contextualSpacing/>
        <w:jc w:val="both"/>
      </w:pPr>
      <w:r w:rsidRPr="005F333A">
        <w:t>A avaliação da rentabilidade do investimento é realizada tendo por base os seguintes indicadores-chave:</w:t>
      </w:r>
    </w:p>
    <w:p w14:paraId="0AB0C746" w14:textId="77777777" w:rsidR="005F333A" w:rsidRPr="005F333A" w:rsidRDefault="005F333A" w:rsidP="005F333A">
      <w:pPr>
        <w:numPr>
          <w:ilvl w:val="0"/>
          <w:numId w:val="5"/>
        </w:numPr>
        <w:spacing w:before="120" w:line="360" w:lineRule="auto"/>
        <w:contextualSpacing/>
        <w:jc w:val="both"/>
      </w:pPr>
      <w:r w:rsidRPr="005F333A">
        <w:t>Valor Atual Líquido Financeiro do Investimento (VALF);</w:t>
      </w:r>
    </w:p>
    <w:p w14:paraId="3AD974DD" w14:textId="77777777" w:rsidR="005F333A" w:rsidRPr="005F333A" w:rsidRDefault="005F333A" w:rsidP="005F333A">
      <w:pPr>
        <w:numPr>
          <w:ilvl w:val="0"/>
          <w:numId w:val="5"/>
        </w:numPr>
        <w:spacing w:before="120" w:line="360" w:lineRule="auto"/>
        <w:contextualSpacing/>
        <w:jc w:val="both"/>
      </w:pPr>
      <w:r w:rsidRPr="005F333A">
        <w:t>Taxa de Rentabilidade Financeira do Investimento (TRF).</w:t>
      </w:r>
    </w:p>
    <w:p w14:paraId="4365111C" w14:textId="77777777" w:rsidR="005F333A" w:rsidRPr="005F333A" w:rsidRDefault="005F333A" w:rsidP="005F333A">
      <w:pPr>
        <w:spacing w:before="120" w:line="360" w:lineRule="auto"/>
        <w:contextualSpacing/>
        <w:jc w:val="both"/>
      </w:pPr>
      <w:r w:rsidRPr="005F333A">
        <w:t>Estes indicadores comparam os custos de investimento com as receitas líquidas e avaliam em que medida as receitas líquidas do projeto são capazes de recuperar o investimento, independentemente das fontes de financiamento.</w:t>
      </w:r>
    </w:p>
    <w:p w14:paraId="174E3C50" w14:textId="77777777" w:rsidR="005F333A" w:rsidRPr="005F333A" w:rsidRDefault="005F333A" w:rsidP="005F333A">
      <w:pPr>
        <w:spacing w:before="120" w:line="360" w:lineRule="auto"/>
        <w:contextualSpacing/>
        <w:jc w:val="both"/>
      </w:pPr>
      <w:r w:rsidRPr="005F333A">
        <w:t>Os custos de financiamento, os impostos sobre o capital, os impostos sobre os rendimentos ou outros impostos diretos, não são incluídos no apuramento do VALF, mas sim na análise da sustentabilidade financeira.</w:t>
      </w:r>
    </w:p>
    <w:p w14:paraId="2F6C7413" w14:textId="77777777" w:rsidR="005F333A" w:rsidRPr="005F333A" w:rsidRDefault="005F333A" w:rsidP="005F333A">
      <w:pPr>
        <w:spacing w:before="120" w:line="360" w:lineRule="auto"/>
        <w:contextualSpacing/>
        <w:jc w:val="both"/>
      </w:pPr>
      <w:r w:rsidRPr="005F333A">
        <w:t xml:space="preserve">O </w:t>
      </w:r>
      <w:r w:rsidRPr="005F333A">
        <w:rPr>
          <w:b/>
          <w:bCs/>
        </w:rPr>
        <w:t>Valor Atual Líquido Financeiro do Investimento</w:t>
      </w:r>
      <w:r w:rsidRPr="005F333A">
        <w:t xml:space="preserve"> (VALF) corresponde ao valor monetário do projeto no ano base da análise, ou seja, ao valor atualizado do projeto considerando as receitas operacionais atualizadas, os custos operacionais atualizados, os investimentos atualizados, os custos de substituição atualizados e o valor residual atualizado.</w:t>
      </w:r>
    </w:p>
    <w:p w14:paraId="6EADBA6A" w14:textId="3777FC94" w:rsidR="005F333A" w:rsidRPr="005F333A" w:rsidRDefault="005F333A" w:rsidP="005F333A">
      <w:pPr>
        <w:rPr>
          <w:b/>
          <w:bCs/>
        </w:rPr>
      </w:pPr>
      <m:oMathPara>
        <m:oMath>
          <m:r>
            <m:rPr>
              <m:sty m:val="bi"/>
            </m:rPr>
            <w:rPr>
              <w:rFonts w:ascii="Cambria Math" w:hAnsi="Cambria Math"/>
            </w:rPr>
            <m:t xml:space="preserve">VALF= </m:t>
          </m:r>
          <m:nary>
            <m:naryPr>
              <m:chr m:val="∑"/>
              <m:limLoc m:val="undOvr"/>
              <m:ctrlPr>
                <w:rPr>
                  <w:rFonts w:ascii="Cambria Math" w:hAnsi="Cambria Math"/>
                  <w:b/>
                  <w:bCs/>
                  <w:i/>
                </w:rPr>
              </m:ctrlPr>
            </m:naryPr>
            <m:sub>
              <m:r>
                <m:rPr>
                  <m:sty m:val="bi"/>
                </m:rPr>
                <w:rPr>
                  <w:rFonts w:ascii="Cambria Math" w:hAnsi="Cambria Math"/>
                </w:rPr>
                <m:t>t=0</m:t>
              </m:r>
            </m:sub>
            <m:sup>
              <m:r>
                <m:rPr>
                  <m:sty m:val="bi"/>
                </m:rPr>
                <w:rPr>
                  <w:rFonts w:ascii="Cambria Math" w:hAnsi="Cambria Math"/>
                </w:rPr>
                <m:t>n</m:t>
              </m:r>
            </m:sup>
            <m:e>
              <m:d>
                <m:dPr>
                  <m:begChr m:val="⟦"/>
                  <m:endChr m:val="⟧"/>
                  <m:ctrlPr>
                    <w:rPr>
                      <w:rFonts w:ascii="Cambria Math" w:hAnsi="Cambria Math"/>
                      <w:b/>
                      <w:bCs/>
                      <w:i/>
                    </w:rPr>
                  </m:ctrlPr>
                </m:dPr>
                <m:e>
                  <m:f>
                    <m:fPr>
                      <m:ctrlPr>
                        <w:rPr>
                          <w:rFonts w:ascii="Cambria Math" w:hAnsi="Cambria Math"/>
                          <w:b/>
                          <w:bCs/>
                          <w:i/>
                        </w:rPr>
                      </m:ctrlPr>
                    </m:fPr>
                    <m:num>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R</m:t>
                          </m:r>
                        </m:e>
                        <m:sub>
                          <m:r>
                            <m:rPr>
                              <m:sty m:val="bi"/>
                            </m:rPr>
                            <w:rPr>
                              <w:rFonts w:ascii="Cambria Math" w:hAnsi="Cambria Math"/>
                            </w:rPr>
                            <m:t>t</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C</m:t>
                          </m:r>
                        </m:e>
                        <m:sub>
                          <m:r>
                            <m:rPr>
                              <m:sty m:val="bi"/>
                            </m:rPr>
                            <w:rPr>
                              <w:rFonts w:ascii="Cambria Math" w:hAnsi="Cambria Math"/>
                            </w:rPr>
                            <m:t>t</m:t>
                          </m:r>
                        </m:sub>
                      </m:sSub>
                      <m:r>
                        <m:rPr>
                          <m:sty m:val="bi"/>
                        </m:rPr>
                        <w:rPr>
                          <w:rFonts w:ascii="Cambria Math" w:hAnsi="Cambria Math"/>
                        </w:rPr>
                        <m:t xml:space="preserve">) </m:t>
                      </m:r>
                    </m:num>
                    <m:den>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1+i</m:t>
                              </m:r>
                            </m:e>
                          </m:d>
                        </m:e>
                        <m:sup>
                          <m:r>
                            <m:rPr>
                              <m:sty m:val="bi"/>
                            </m:rPr>
                            <w:rPr>
                              <w:rFonts w:ascii="Cambria Math" w:hAnsi="Cambria Math"/>
                            </w:rPr>
                            <m:t>t</m:t>
                          </m:r>
                        </m:sup>
                      </m:sSup>
                    </m:den>
                  </m:f>
                </m:e>
              </m:d>
              <m:r>
                <m:rPr>
                  <m:sty m:val="bi"/>
                </m:rPr>
                <w:rPr>
                  <w:rFonts w:ascii="Cambria Math" w:hAnsi="Cambria Math"/>
                </w:rPr>
                <m:t xml:space="preserve">-  </m:t>
              </m:r>
              <m:nary>
                <m:naryPr>
                  <m:chr m:val="∑"/>
                  <m:limLoc m:val="undOvr"/>
                  <m:ctrlPr>
                    <w:rPr>
                      <w:rFonts w:ascii="Cambria Math" w:hAnsi="Cambria Math"/>
                      <w:b/>
                      <w:bCs/>
                      <w:i/>
                    </w:rPr>
                  </m:ctrlPr>
                </m:naryPr>
                <m:sub>
                  <m:r>
                    <m:rPr>
                      <m:sty m:val="bi"/>
                    </m:rPr>
                    <w:rPr>
                      <w:rFonts w:ascii="Cambria Math" w:hAnsi="Cambria Math"/>
                    </w:rPr>
                    <m:t>t=0</m:t>
                  </m:r>
                </m:sub>
                <m:sup>
                  <m:r>
                    <m:rPr>
                      <m:sty m:val="bi"/>
                    </m:rPr>
                    <w:rPr>
                      <w:rFonts w:ascii="Cambria Math" w:hAnsi="Cambria Math"/>
                    </w:rPr>
                    <m:t>n</m:t>
                  </m:r>
                </m:sup>
                <m:e>
                  <m:d>
                    <m:dPr>
                      <m:begChr m:val="⟦"/>
                      <m:endChr m:val="⟧"/>
                      <m:ctrlPr>
                        <w:rPr>
                          <w:rFonts w:ascii="Cambria Math" w:hAnsi="Cambria Math"/>
                          <w:b/>
                          <w:bCs/>
                          <w:i/>
                        </w:rPr>
                      </m:ctrlPr>
                    </m:dPr>
                    <m:e>
                      <m:f>
                        <m:fPr>
                          <m:ctrlPr>
                            <w:rPr>
                              <w:rFonts w:ascii="Cambria Math" w:hAnsi="Cambria Math"/>
                              <w:b/>
                              <w:bCs/>
                              <w:i/>
                            </w:rPr>
                          </m:ctrlPr>
                        </m:fPr>
                        <m:num>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t</m:t>
                              </m:r>
                            </m:sub>
                          </m:sSub>
                        </m:num>
                        <m:den>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1+i</m:t>
                                  </m:r>
                                </m:e>
                              </m:d>
                            </m:e>
                            <m:sup>
                              <m:r>
                                <m:rPr>
                                  <m:sty m:val="bi"/>
                                </m:rPr>
                                <w:rPr>
                                  <w:rFonts w:ascii="Cambria Math" w:hAnsi="Cambria Math"/>
                                </w:rPr>
                                <m:t>t</m:t>
                              </m:r>
                            </m:sup>
                          </m:sSup>
                        </m:den>
                      </m:f>
                    </m:e>
                  </m:d>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Valor Residual</m:t>
                      </m:r>
                    </m:e>
                    <m:sub>
                      <m:r>
                        <m:rPr>
                          <m:sty m:val="bi"/>
                        </m:rPr>
                        <w:rPr>
                          <w:rFonts w:ascii="Cambria Math" w:hAnsi="Cambria Math"/>
                        </w:rPr>
                        <m:t>t</m:t>
                      </m:r>
                    </m:sub>
                  </m:sSub>
                  <m:r>
                    <m:rPr>
                      <m:sty m:val="bi"/>
                    </m:rPr>
                    <w:rPr>
                      <w:rFonts w:ascii="Cambria Math" w:hAnsi="Cambria Math"/>
                    </w:rPr>
                    <m:t xml:space="preserve">  </m:t>
                  </m:r>
                </m:e>
              </m:nary>
            </m:e>
          </m:nary>
        </m:oMath>
      </m:oMathPara>
    </w:p>
    <w:p w14:paraId="19D57995" w14:textId="77777777" w:rsidR="005F333A" w:rsidRPr="005F333A" w:rsidRDefault="005F333A" w:rsidP="003A4689">
      <w:pPr>
        <w:spacing w:before="120" w:line="360" w:lineRule="auto"/>
        <w:contextualSpacing/>
      </w:pPr>
      <w:r w:rsidRPr="005F333A">
        <w:t>Sendo:</w:t>
      </w:r>
    </w:p>
    <w:p w14:paraId="2DA61362" w14:textId="77777777" w:rsidR="005F333A" w:rsidRPr="005F333A" w:rsidRDefault="005F333A" w:rsidP="003A4689">
      <w:pPr>
        <w:numPr>
          <w:ilvl w:val="0"/>
          <w:numId w:val="2"/>
        </w:numPr>
        <w:spacing w:before="120" w:line="360" w:lineRule="auto"/>
        <w:contextualSpacing/>
      </w:pPr>
      <w:proofErr w:type="spellStart"/>
      <w:r w:rsidRPr="005F333A">
        <w:t>I</w:t>
      </w:r>
      <w:r w:rsidRPr="005F333A">
        <w:rPr>
          <w:vertAlign w:val="subscript"/>
        </w:rPr>
        <w:t>t</w:t>
      </w:r>
      <w:proofErr w:type="spellEnd"/>
      <w:r w:rsidRPr="005F333A">
        <w:t xml:space="preserve"> (investimento no momento (incluindo custos de substituição) t);</w:t>
      </w:r>
    </w:p>
    <w:p w14:paraId="574270AA" w14:textId="77777777" w:rsidR="005F333A" w:rsidRPr="005F333A" w:rsidRDefault="005F333A" w:rsidP="003A4689">
      <w:pPr>
        <w:numPr>
          <w:ilvl w:val="0"/>
          <w:numId w:val="2"/>
        </w:numPr>
        <w:spacing w:before="120" w:line="360" w:lineRule="auto"/>
        <w:contextualSpacing/>
      </w:pPr>
      <w:proofErr w:type="spellStart"/>
      <w:r w:rsidRPr="005F333A">
        <w:t>R</w:t>
      </w:r>
      <w:r w:rsidRPr="005F333A">
        <w:rPr>
          <w:vertAlign w:val="subscript"/>
        </w:rPr>
        <w:t>t</w:t>
      </w:r>
      <w:proofErr w:type="spellEnd"/>
      <w:r w:rsidRPr="005F333A">
        <w:rPr>
          <w:vertAlign w:val="subscript"/>
        </w:rPr>
        <w:t xml:space="preserve"> </w:t>
      </w:r>
      <w:r w:rsidRPr="005F333A">
        <w:t>(receitas operacionais no momento t);</w:t>
      </w:r>
    </w:p>
    <w:p w14:paraId="2AE91056" w14:textId="77777777" w:rsidR="005F333A" w:rsidRPr="005F333A" w:rsidRDefault="005F333A" w:rsidP="003A4689">
      <w:pPr>
        <w:numPr>
          <w:ilvl w:val="0"/>
          <w:numId w:val="2"/>
        </w:numPr>
        <w:spacing w:before="120" w:line="360" w:lineRule="auto"/>
        <w:contextualSpacing/>
      </w:pPr>
      <w:proofErr w:type="spellStart"/>
      <w:r w:rsidRPr="005F333A">
        <w:t>C</w:t>
      </w:r>
      <w:r w:rsidRPr="005F333A">
        <w:rPr>
          <w:vertAlign w:val="subscript"/>
        </w:rPr>
        <w:t>t</w:t>
      </w:r>
      <w:proofErr w:type="spellEnd"/>
      <w:r w:rsidRPr="005F333A">
        <w:t xml:space="preserve"> (custos operacionais no momento t);</w:t>
      </w:r>
    </w:p>
    <w:p w14:paraId="4A248045" w14:textId="77777777" w:rsidR="005F333A" w:rsidRPr="005F333A" w:rsidRDefault="005F333A" w:rsidP="003A4689">
      <w:pPr>
        <w:numPr>
          <w:ilvl w:val="0"/>
          <w:numId w:val="2"/>
        </w:numPr>
        <w:spacing w:before="120" w:line="360" w:lineRule="auto"/>
        <w:contextualSpacing/>
      </w:pPr>
      <w:r w:rsidRPr="005F333A">
        <w:t>i (taxa de desconto financeira);</w:t>
      </w:r>
    </w:p>
    <w:p w14:paraId="7559A66A" w14:textId="77777777" w:rsidR="005F333A" w:rsidRPr="005F333A" w:rsidRDefault="005F333A" w:rsidP="003A4689">
      <w:pPr>
        <w:numPr>
          <w:ilvl w:val="0"/>
          <w:numId w:val="2"/>
        </w:numPr>
        <w:spacing w:before="120" w:line="360" w:lineRule="auto"/>
        <w:contextualSpacing/>
      </w:pPr>
      <w:r w:rsidRPr="005F333A">
        <w:t>n + 1 (período de referência)</w:t>
      </w:r>
    </w:p>
    <w:p w14:paraId="0B521810" w14:textId="77777777" w:rsidR="005F333A" w:rsidRPr="005F333A" w:rsidRDefault="005F333A" w:rsidP="003A4689">
      <w:pPr>
        <w:numPr>
          <w:ilvl w:val="0"/>
          <w:numId w:val="2"/>
        </w:numPr>
        <w:spacing w:before="120" w:line="360" w:lineRule="auto"/>
        <w:contextualSpacing/>
      </w:pPr>
      <w:r w:rsidRPr="005F333A">
        <w:t>t (ano).</w:t>
      </w:r>
    </w:p>
    <w:p w14:paraId="6771D27C" w14:textId="77777777" w:rsidR="005F333A" w:rsidRPr="005F333A" w:rsidRDefault="005F333A" w:rsidP="003A4689">
      <w:pPr>
        <w:spacing w:before="120" w:line="360" w:lineRule="auto"/>
        <w:contextualSpacing/>
      </w:pPr>
    </w:p>
    <w:p w14:paraId="14A4D37D" w14:textId="05079116" w:rsidR="005F333A" w:rsidRPr="005F333A" w:rsidRDefault="005F333A" w:rsidP="003A4689">
      <w:pPr>
        <w:spacing w:before="120" w:line="360" w:lineRule="auto"/>
        <w:contextualSpacing/>
      </w:pPr>
      <w:r w:rsidRPr="005F333A">
        <w:t xml:space="preserve">A </w:t>
      </w:r>
      <w:r w:rsidRPr="005F333A">
        <w:rPr>
          <w:b/>
          <w:bCs/>
        </w:rPr>
        <w:t>Taxa de Rentabilidade Financeira do Investimento</w:t>
      </w:r>
      <w:r w:rsidRPr="005F333A">
        <w:t xml:space="preserve"> (TRF) corresponde à taxa de desconto que produz um VALF igual a zero, pelo que o apuramento desta taxa é realizado mediante a resolução da seguinte equação em ordem a TRF:</w:t>
      </w:r>
    </w:p>
    <w:p w14:paraId="1252203B" w14:textId="19B8BA22" w:rsidR="005F333A" w:rsidRPr="005F333A" w:rsidRDefault="005F333A" w:rsidP="003A4689">
      <w:pPr>
        <w:spacing w:before="120" w:line="360" w:lineRule="auto"/>
        <w:contextualSpacing/>
        <w:rPr>
          <w:b/>
          <w:bCs/>
        </w:rPr>
      </w:pPr>
      <m:oMathPara>
        <m:oMath>
          <m:r>
            <m:rPr>
              <m:sty m:val="bi"/>
            </m:rPr>
            <w:rPr>
              <w:rFonts w:ascii="Cambria Math" w:hAnsi="Cambria Math"/>
            </w:rPr>
            <w:lastRenderedPageBreak/>
            <m:t xml:space="preserve">0= </m:t>
          </m:r>
          <m:nary>
            <m:naryPr>
              <m:chr m:val="∑"/>
              <m:limLoc m:val="undOvr"/>
              <m:ctrlPr>
                <w:rPr>
                  <w:rFonts w:ascii="Cambria Math" w:hAnsi="Cambria Math"/>
                  <w:b/>
                  <w:bCs/>
                  <w:i/>
                </w:rPr>
              </m:ctrlPr>
            </m:naryPr>
            <m:sub>
              <m:r>
                <m:rPr>
                  <m:sty m:val="bi"/>
                </m:rPr>
                <w:rPr>
                  <w:rFonts w:ascii="Cambria Math" w:hAnsi="Cambria Math"/>
                </w:rPr>
                <m:t>t=0</m:t>
              </m:r>
            </m:sub>
            <m:sup>
              <m:r>
                <m:rPr>
                  <m:sty m:val="bi"/>
                </m:rPr>
                <w:rPr>
                  <w:rFonts w:ascii="Cambria Math" w:hAnsi="Cambria Math"/>
                </w:rPr>
                <m:t>n</m:t>
              </m:r>
            </m:sup>
            <m:e>
              <m:d>
                <m:dPr>
                  <m:begChr m:val="⟦"/>
                  <m:endChr m:val="⟧"/>
                  <m:ctrlPr>
                    <w:rPr>
                      <w:rFonts w:ascii="Cambria Math" w:hAnsi="Cambria Math"/>
                      <w:b/>
                      <w:bCs/>
                      <w:i/>
                    </w:rPr>
                  </m:ctrlPr>
                </m:dPr>
                <m:e>
                  <m:f>
                    <m:fPr>
                      <m:ctrlPr>
                        <w:rPr>
                          <w:rFonts w:ascii="Cambria Math" w:hAnsi="Cambria Math"/>
                          <w:b/>
                          <w:bCs/>
                          <w:i/>
                        </w:rPr>
                      </m:ctrlPr>
                    </m:fPr>
                    <m:num>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R</m:t>
                          </m:r>
                        </m:e>
                        <m:sub>
                          <m:r>
                            <m:rPr>
                              <m:sty m:val="bi"/>
                            </m:rPr>
                            <w:rPr>
                              <w:rFonts w:ascii="Cambria Math" w:hAnsi="Cambria Math"/>
                            </w:rPr>
                            <m:t>t</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C</m:t>
                          </m:r>
                        </m:e>
                        <m:sub>
                          <m:r>
                            <m:rPr>
                              <m:sty m:val="bi"/>
                            </m:rPr>
                            <w:rPr>
                              <w:rFonts w:ascii="Cambria Math" w:hAnsi="Cambria Math"/>
                            </w:rPr>
                            <m:t>t</m:t>
                          </m:r>
                        </m:sub>
                      </m:sSub>
                      <m:r>
                        <m:rPr>
                          <m:sty m:val="bi"/>
                        </m:rPr>
                        <w:rPr>
                          <w:rFonts w:ascii="Cambria Math" w:hAnsi="Cambria Math"/>
                        </w:rPr>
                        <m:t xml:space="preserve">) </m:t>
                      </m:r>
                    </m:num>
                    <m:den>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1+TRF</m:t>
                              </m:r>
                            </m:e>
                          </m:d>
                        </m:e>
                        <m:sup>
                          <m:r>
                            <m:rPr>
                              <m:sty m:val="bi"/>
                            </m:rPr>
                            <w:rPr>
                              <w:rFonts w:ascii="Cambria Math" w:hAnsi="Cambria Math"/>
                            </w:rPr>
                            <m:t>t</m:t>
                          </m:r>
                        </m:sup>
                      </m:sSup>
                    </m:den>
                  </m:f>
                </m:e>
              </m:d>
              <m:r>
                <m:rPr>
                  <m:sty m:val="bi"/>
                </m:rPr>
                <w:rPr>
                  <w:rFonts w:ascii="Cambria Math" w:hAnsi="Cambria Math"/>
                </w:rPr>
                <m:t xml:space="preserve">-  </m:t>
              </m:r>
              <m:nary>
                <m:naryPr>
                  <m:chr m:val="∑"/>
                  <m:limLoc m:val="undOvr"/>
                  <m:ctrlPr>
                    <w:rPr>
                      <w:rFonts w:ascii="Cambria Math" w:hAnsi="Cambria Math"/>
                      <w:b/>
                      <w:bCs/>
                      <w:i/>
                    </w:rPr>
                  </m:ctrlPr>
                </m:naryPr>
                <m:sub>
                  <m:r>
                    <m:rPr>
                      <m:sty m:val="bi"/>
                    </m:rPr>
                    <w:rPr>
                      <w:rFonts w:ascii="Cambria Math" w:hAnsi="Cambria Math"/>
                    </w:rPr>
                    <m:t>t=0</m:t>
                  </m:r>
                </m:sub>
                <m:sup>
                  <m:r>
                    <m:rPr>
                      <m:sty m:val="bi"/>
                    </m:rPr>
                    <w:rPr>
                      <w:rFonts w:ascii="Cambria Math" w:hAnsi="Cambria Math"/>
                    </w:rPr>
                    <m:t>n</m:t>
                  </m:r>
                </m:sup>
                <m:e>
                  <m:d>
                    <m:dPr>
                      <m:begChr m:val="⟦"/>
                      <m:endChr m:val="⟧"/>
                      <m:ctrlPr>
                        <w:rPr>
                          <w:rFonts w:ascii="Cambria Math" w:hAnsi="Cambria Math"/>
                          <w:b/>
                          <w:bCs/>
                          <w:i/>
                        </w:rPr>
                      </m:ctrlPr>
                    </m:dPr>
                    <m:e>
                      <m:f>
                        <m:fPr>
                          <m:ctrlPr>
                            <w:rPr>
                              <w:rFonts w:ascii="Cambria Math" w:hAnsi="Cambria Math"/>
                              <w:b/>
                              <w:bCs/>
                              <w:i/>
                            </w:rPr>
                          </m:ctrlPr>
                        </m:fPr>
                        <m:num>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t</m:t>
                              </m:r>
                            </m:sub>
                          </m:sSub>
                        </m:num>
                        <m:den>
                          <m:sSup>
                            <m:sSupPr>
                              <m:ctrlPr>
                                <w:rPr>
                                  <w:rFonts w:ascii="Cambria Math" w:hAnsi="Cambria Math"/>
                                  <w:b/>
                                  <w:bCs/>
                                  <w:i/>
                                </w:rPr>
                              </m:ctrlPr>
                            </m:sSupPr>
                            <m:e>
                              <m:d>
                                <m:dPr>
                                  <m:ctrlPr>
                                    <w:rPr>
                                      <w:rFonts w:ascii="Cambria Math" w:hAnsi="Cambria Math"/>
                                      <w:b/>
                                      <w:bCs/>
                                      <w:i/>
                                    </w:rPr>
                                  </m:ctrlPr>
                                </m:dPr>
                                <m:e>
                                  <m:r>
                                    <m:rPr>
                                      <m:sty m:val="bi"/>
                                    </m:rPr>
                                    <w:rPr>
                                      <w:rFonts w:ascii="Cambria Math" w:hAnsi="Cambria Math"/>
                                    </w:rPr>
                                    <m:t>1+TRF</m:t>
                                  </m:r>
                                </m:e>
                              </m:d>
                            </m:e>
                            <m:sup>
                              <m:r>
                                <m:rPr>
                                  <m:sty m:val="bi"/>
                                </m:rPr>
                                <w:rPr>
                                  <w:rFonts w:ascii="Cambria Math" w:hAnsi="Cambria Math"/>
                                </w:rPr>
                                <m:t>t</m:t>
                              </m:r>
                            </m:sup>
                          </m:sSup>
                        </m:den>
                      </m:f>
                    </m:e>
                  </m:d>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Valor Residual</m:t>
                      </m:r>
                    </m:e>
                    <m:sub>
                      <m:r>
                        <m:rPr>
                          <m:sty m:val="bi"/>
                        </m:rPr>
                        <w:rPr>
                          <w:rFonts w:ascii="Cambria Math" w:hAnsi="Cambria Math"/>
                        </w:rPr>
                        <m:t>t</m:t>
                      </m:r>
                    </m:sub>
                  </m:sSub>
                  <m:r>
                    <m:rPr>
                      <m:sty m:val="bi"/>
                    </m:rPr>
                    <w:rPr>
                      <w:rFonts w:ascii="Cambria Math" w:hAnsi="Cambria Math"/>
                    </w:rPr>
                    <m:t xml:space="preserve">  </m:t>
                  </m:r>
                </m:e>
              </m:nary>
            </m:e>
          </m:nary>
        </m:oMath>
      </m:oMathPara>
    </w:p>
    <w:p w14:paraId="73AB2549" w14:textId="77777777" w:rsidR="005F333A" w:rsidRPr="005F333A" w:rsidRDefault="005F333A" w:rsidP="003A4689">
      <w:pPr>
        <w:spacing w:before="120" w:line="360" w:lineRule="auto"/>
        <w:contextualSpacing/>
      </w:pPr>
      <w:r w:rsidRPr="005F333A">
        <w:t>O VALF é expresso em termos monetários (euros), e deve estar relacionado com a escala do projeto. A TRF não varia em função da escala do projeto. O avaliador pode utilizar a TRF para analisar o desempenho futuro do investimento, tendo por referência projetos similares ou determinada taxa de rentabilidade.</w:t>
      </w:r>
    </w:p>
    <w:p w14:paraId="07C26805" w14:textId="77777777" w:rsidR="005F333A" w:rsidRPr="005F333A" w:rsidRDefault="005F333A" w:rsidP="003A4689">
      <w:pPr>
        <w:spacing w:before="120" w:line="360" w:lineRule="auto"/>
        <w:contextualSpacing/>
      </w:pPr>
      <w:r w:rsidRPr="005F333A">
        <w:t>O apuramento do Valor Atual Líquido Financeiro do Investimento (VALF) e da Taxa de Rentabilidade Financeira do Investimento (TRF), conforme ponto 2.5.5 do presente documento, permite aferir se o projeto necessita de financiamento da União Europeia: se a TRF for inferior à taxa de desconto aplicada e se o VALF for negativo, as receitas geradas não serão suficientes para cobrir os custos e o projeto necessita da contribuição da União Europeia. Estes resultados são frequentes em projetos de infraestruturas públicas, devido à estrutura tarifária em determinados sectores.</w:t>
      </w:r>
    </w:p>
    <w:p w14:paraId="481D3D17" w14:textId="77777777" w:rsidR="005F333A" w:rsidRPr="005F333A" w:rsidRDefault="005F333A" w:rsidP="003A4689">
      <w:pPr>
        <w:spacing w:before="120" w:line="360" w:lineRule="auto"/>
        <w:contextualSpacing/>
        <w:rPr>
          <w:i/>
          <w:iCs/>
        </w:rPr>
      </w:pPr>
      <w:bookmarkStart w:id="35" w:name="_Toc135994784"/>
      <w:r w:rsidRPr="005F333A">
        <w:rPr>
          <w:i/>
          <w:iCs/>
        </w:rPr>
        <w:t xml:space="preserve">Tabela </w:t>
      </w:r>
      <w:r w:rsidRPr="005F333A">
        <w:rPr>
          <w:i/>
          <w:iCs/>
        </w:rPr>
        <w:fldChar w:fldCharType="begin"/>
      </w:r>
      <w:r w:rsidRPr="005F333A">
        <w:rPr>
          <w:i/>
          <w:iCs/>
        </w:rPr>
        <w:instrText xml:space="preserve"> SEQ Tabela \* ARABIC </w:instrText>
      </w:r>
      <w:r w:rsidRPr="005F333A">
        <w:rPr>
          <w:i/>
          <w:iCs/>
        </w:rPr>
        <w:fldChar w:fldCharType="separate"/>
      </w:r>
      <w:r w:rsidRPr="005F333A">
        <w:rPr>
          <w:i/>
          <w:iCs/>
        </w:rPr>
        <w:t>6</w:t>
      </w:r>
      <w:r w:rsidRPr="005F333A">
        <w:fldChar w:fldCharType="end"/>
      </w:r>
      <w:r w:rsidRPr="005F333A">
        <w:rPr>
          <w:i/>
          <w:iCs/>
        </w:rPr>
        <w:t>- Cálculo da Rentabilidade Financeira do Investimento</w:t>
      </w:r>
      <w:bookmarkEnd w:id="35"/>
    </w:p>
    <w:p w14:paraId="24BD7AD1" w14:textId="77777777" w:rsidR="005F333A" w:rsidRPr="005F333A" w:rsidRDefault="005F333A" w:rsidP="005F333A">
      <w:r w:rsidRPr="005F333A">
        <w:rPr>
          <w:noProof/>
        </w:rPr>
        <w:drawing>
          <wp:inline distT="0" distB="0" distL="0" distR="0" wp14:anchorId="704F99FD" wp14:editId="38D37E84">
            <wp:extent cx="5671185" cy="1678305"/>
            <wp:effectExtent l="0" t="0" r="5715" b="0"/>
            <wp:docPr id="138338768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71185" cy="1678305"/>
                    </a:xfrm>
                    <a:prstGeom prst="rect">
                      <a:avLst/>
                    </a:prstGeom>
                    <a:noFill/>
                    <a:ln>
                      <a:noFill/>
                    </a:ln>
                  </pic:spPr>
                </pic:pic>
              </a:graphicData>
            </a:graphic>
          </wp:inline>
        </w:drawing>
      </w:r>
    </w:p>
    <w:p w14:paraId="470A80EE" w14:textId="77777777" w:rsidR="005F333A" w:rsidRPr="005F333A" w:rsidRDefault="005F333A" w:rsidP="005F333A"/>
    <w:p w14:paraId="790114C8" w14:textId="77777777" w:rsidR="005F333A" w:rsidRPr="005F333A" w:rsidRDefault="005F333A" w:rsidP="005F333A">
      <w:pPr>
        <w:numPr>
          <w:ilvl w:val="2"/>
          <w:numId w:val="1"/>
        </w:numPr>
        <w:rPr>
          <w:b/>
          <w:bCs/>
        </w:rPr>
      </w:pPr>
      <w:bookmarkStart w:id="36" w:name="_Toc136629408"/>
      <w:r w:rsidRPr="005F333A">
        <w:rPr>
          <w:b/>
          <w:bCs/>
        </w:rPr>
        <w:t>Sustentabilidade Financeira do Investimento</w:t>
      </w:r>
      <w:bookmarkEnd w:id="36"/>
    </w:p>
    <w:p w14:paraId="39873332" w14:textId="77777777" w:rsidR="005F333A" w:rsidRPr="005F333A" w:rsidRDefault="005F333A" w:rsidP="003A4689">
      <w:pPr>
        <w:spacing w:before="120" w:line="360" w:lineRule="auto"/>
        <w:contextualSpacing/>
        <w:jc w:val="both"/>
      </w:pPr>
      <w:r w:rsidRPr="005F333A">
        <w:t>A análise da sustentabilidade financeira baseia-se em projeções de fluxos de caixa não atualizados e pretende demonstrar que o projeto terá recursos financeiros suficientes e disponíveis para cobrir os custos de investimento e de funcionamento durante todo o período de referência. Um projeto é financeiramente sustentável quando não existe o risco de ficar sem os recursos financeiros necessários, tanto na fase de investimento como na fase operacional.</w:t>
      </w:r>
    </w:p>
    <w:p w14:paraId="12C3C66E" w14:textId="77777777" w:rsidR="005F333A" w:rsidRPr="005F333A" w:rsidRDefault="005F333A" w:rsidP="003A4689">
      <w:pPr>
        <w:spacing w:before="120" w:line="360" w:lineRule="auto"/>
        <w:contextualSpacing/>
        <w:jc w:val="both"/>
      </w:pPr>
      <w:r w:rsidRPr="005F333A">
        <w:t xml:space="preserve">O promotor do projeto deve demonstrar que as fontes de financiamento disponíveis (internas e externas) corresponderão de forma consistente às necessidades do projeto, ano após ano. No caso de projetos não geradores de receita líquida, ou sempre que sejam projetados fluxos de caixa líquidos negativos, deve ser demonstrado de que forma será realizada a cobertura desses fluxos negativos ao longo de todo o período de referência. </w:t>
      </w:r>
    </w:p>
    <w:p w14:paraId="7BA02573" w14:textId="77777777" w:rsidR="005F333A" w:rsidRPr="005F333A" w:rsidRDefault="005F333A" w:rsidP="003A4689">
      <w:pPr>
        <w:spacing w:before="120" w:line="360" w:lineRule="auto"/>
        <w:contextualSpacing/>
        <w:jc w:val="both"/>
      </w:pPr>
      <w:r w:rsidRPr="005F333A">
        <w:lastRenderedPageBreak/>
        <w:t>Nos casos em que as receitas do projeto precisam de ser complementadas por fundos públicos para salvaguardar a sustentabilidade financeira de longo prazo, essas dotações devem ser estabelecidas por leis específicas, acordos ou contratos institucionais.</w:t>
      </w:r>
    </w:p>
    <w:p w14:paraId="49C9B585" w14:textId="77777777" w:rsidR="005F333A" w:rsidRPr="005F333A" w:rsidRDefault="005F333A" w:rsidP="003A4689">
      <w:pPr>
        <w:spacing w:before="120" w:line="360" w:lineRule="auto"/>
        <w:contextualSpacing/>
        <w:jc w:val="both"/>
      </w:pPr>
      <w:r w:rsidRPr="005F333A">
        <w:t xml:space="preserve">A diferença entre as entradas e as saídas mostrará o défice ou superavit que será acumulado em cada ano. A sustentabilidade ocorre se o fluxo de caixa gerado acumulado for positivo para todos os anos do período de referência (Tabela 7). </w:t>
      </w:r>
    </w:p>
    <w:p w14:paraId="5A459C30" w14:textId="77777777" w:rsidR="005F333A" w:rsidRPr="005F333A" w:rsidRDefault="005F333A" w:rsidP="003A4689">
      <w:pPr>
        <w:spacing w:before="120" w:line="360" w:lineRule="auto"/>
        <w:contextualSpacing/>
        <w:jc w:val="both"/>
      </w:pPr>
      <w:r w:rsidRPr="005F333A">
        <w:t>As entradas incluem:</w:t>
      </w:r>
    </w:p>
    <w:p w14:paraId="3B85B45B" w14:textId="77777777" w:rsidR="005F333A" w:rsidRPr="005F333A" w:rsidRDefault="005F333A" w:rsidP="003A4689">
      <w:pPr>
        <w:numPr>
          <w:ilvl w:val="0"/>
          <w:numId w:val="2"/>
        </w:numPr>
        <w:spacing w:before="120" w:line="360" w:lineRule="auto"/>
        <w:contextualSpacing/>
        <w:jc w:val="both"/>
      </w:pPr>
      <w:r w:rsidRPr="005F333A">
        <w:t>Fontes de financiamento (por exemplo, contribuição da União Europeia, contribuição Nacional, capitais próprios, empréstimos bancários, contribuição privada ao abrigo de uma Pareceria Público-Privada);</w:t>
      </w:r>
    </w:p>
    <w:p w14:paraId="1364D583" w14:textId="77777777" w:rsidR="005F333A" w:rsidRPr="005F333A" w:rsidRDefault="005F333A" w:rsidP="003A4689">
      <w:pPr>
        <w:numPr>
          <w:ilvl w:val="0"/>
          <w:numId w:val="2"/>
        </w:numPr>
        <w:spacing w:before="120" w:line="360" w:lineRule="auto"/>
        <w:contextualSpacing/>
        <w:jc w:val="both"/>
      </w:pPr>
      <w:r w:rsidRPr="005F333A">
        <w:t xml:space="preserve">Receitas operacionais; </w:t>
      </w:r>
    </w:p>
    <w:p w14:paraId="1E5FBCE3" w14:textId="77777777" w:rsidR="005F333A" w:rsidRPr="005F333A" w:rsidRDefault="005F333A" w:rsidP="003A4689">
      <w:pPr>
        <w:numPr>
          <w:ilvl w:val="0"/>
          <w:numId w:val="2"/>
        </w:numPr>
        <w:spacing w:before="120" w:line="360" w:lineRule="auto"/>
        <w:contextualSpacing/>
        <w:jc w:val="both"/>
      </w:pPr>
      <w:r w:rsidRPr="005F333A">
        <w:t>Transferências, subsídios e outros ganhos financeiros não decorrentes de valores pagos pelos utilizadores para a utilização da infraestrutura.</w:t>
      </w:r>
    </w:p>
    <w:p w14:paraId="59DE1014" w14:textId="77777777" w:rsidR="005F333A" w:rsidRPr="005F333A" w:rsidRDefault="005F333A" w:rsidP="003A4689">
      <w:pPr>
        <w:spacing w:before="120" w:line="360" w:lineRule="auto"/>
        <w:contextualSpacing/>
        <w:jc w:val="both"/>
      </w:pPr>
      <w:r w:rsidRPr="005F333A">
        <w:t>O valor residual só deve ser incluído se for efetivamente liquidado no último ano da análise.</w:t>
      </w:r>
    </w:p>
    <w:p w14:paraId="371BB146" w14:textId="77777777" w:rsidR="005F333A" w:rsidRPr="005F333A" w:rsidRDefault="005F333A" w:rsidP="003A4689">
      <w:pPr>
        <w:spacing w:before="120" w:line="360" w:lineRule="auto"/>
        <w:contextualSpacing/>
        <w:jc w:val="both"/>
      </w:pPr>
      <w:r w:rsidRPr="005F333A">
        <w:t>Nas saídas são considerados:</w:t>
      </w:r>
    </w:p>
    <w:p w14:paraId="3C6C9462" w14:textId="77777777" w:rsidR="005F333A" w:rsidRPr="005F333A" w:rsidRDefault="005F333A" w:rsidP="003A4689">
      <w:pPr>
        <w:numPr>
          <w:ilvl w:val="0"/>
          <w:numId w:val="2"/>
        </w:numPr>
        <w:spacing w:before="120" w:line="360" w:lineRule="auto"/>
        <w:contextualSpacing/>
        <w:jc w:val="both"/>
      </w:pPr>
      <w:r w:rsidRPr="005F333A">
        <w:t>Investimento inicial;</w:t>
      </w:r>
    </w:p>
    <w:p w14:paraId="2C855828" w14:textId="77777777" w:rsidR="005F333A" w:rsidRPr="005F333A" w:rsidRDefault="005F333A" w:rsidP="003A4689">
      <w:pPr>
        <w:numPr>
          <w:ilvl w:val="0"/>
          <w:numId w:val="2"/>
        </w:numPr>
        <w:spacing w:before="120" w:line="360" w:lineRule="auto"/>
        <w:contextualSpacing/>
        <w:jc w:val="both"/>
      </w:pPr>
      <w:r w:rsidRPr="005F333A">
        <w:t>Custos de substituição;</w:t>
      </w:r>
    </w:p>
    <w:p w14:paraId="1293C73B" w14:textId="77777777" w:rsidR="005F333A" w:rsidRPr="005F333A" w:rsidRDefault="005F333A" w:rsidP="003A4689">
      <w:pPr>
        <w:numPr>
          <w:ilvl w:val="0"/>
          <w:numId w:val="2"/>
        </w:numPr>
        <w:spacing w:before="120" w:line="360" w:lineRule="auto"/>
        <w:contextualSpacing/>
        <w:jc w:val="both"/>
      </w:pPr>
      <w:r w:rsidRPr="005F333A">
        <w:t>Custos operacionais;</w:t>
      </w:r>
    </w:p>
    <w:p w14:paraId="4A4EEDF6" w14:textId="77777777" w:rsidR="005F333A" w:rsidRPr="005F333A" w:rsidRDefault="005F333A" w:rsidP="003A4689">
      <w:pPr>
        <w:numPr>
          <w:ilvl w:val="0"/>
          <w:numId w:val="2"/>
        </w:numPr>
        <w:spacing w:before="120" w:line="360" w:lineRule="auto"/>
        <w:contextualSpacing/>
        <w:jc w:val="both"/>
      </w:pPr>
      <w:r w:rsidRPr="005F333A">
        <w:t>Amortização de empréstimos e pagamentos de juros;</w:t>
      </w:r>
    </w:p>
    <w:p w14:paraId="510BD3CD" w14:textId="77777777" w:rsidR="005F333A" w:rsidRPr="005F333A" w:rsidRDefault="005F333A" w:rsidP="003A4689">
      <w:pPr>
        <w:numPr>
          <w:ilvl w:val="0"/>
          <w:numId w:val="2"/>
        </w:numPr>
        <w:spacing w:before="120" w:line="360" w:lineRule="auto"/>
        <w:contextualSpacing/>
        <w:jc w:val="both"/>
      </w:pPr>
      <w:r w:rsidRPr="005F333A">
        <w:t>Impostos sobre o capital, impostos sobre o rendimento e outros impostos diretos.</w:t>
      </w:r>
    </w:p>
    <w:p w14:paraId="4DC94CB8" w14:textId="77777777" w:rsidR="005F333A" w:rsidRPr="005F333A" w:rsidRDefault="005F333A" w:rsidP="003A4689">
      <w:pPr>
        <w:spacing w:before="120" w:line="360" w:lineRule="auto"/>
        <w:contextualSpacing/>
        <w:jc w:val="both"/>
        <w:rPr>
          <w:i/>
          <w:iCs/>
        </w:rPr>
      </w:pPr>
    </w:p>
    <w:p w14:paraId="3E91023D" w14:textId="77777777" w:rsidR="005F333A" w:rsidRPr="005F333A" w:rsidRDefault="005F333A" w:rsidP="005F333A">
      <w:pPr>
        <w:rPr>
          <w:i/>
          <w:iCs/>
        </w:rPr>
      </w:pPr>
      <w:bookmarkStart w:id="37" w:name="_Toc135994785"/>
      <w:r w:rsidRPr="005F333A">
        <w:rPr>
          <w:i/>
          <w:iCs/>
        </w:rPr>
        <w:t xml:space="preserve">Tabela </w:t>
      </w:r>
      <w:r w:rsidRPr="005F333A">
        <w:rPr>
          <w:i/>
          <w:iCs/>
        </w:rPr>
        <w:fldChar w:fldCharType="begin"/>
      </w:r>
      <w:r w:rsidRPr="005F333A">
        <w:rPr>
          <w:i/>
          <w:iCs/>
        </w:rPr>
        <w:instrText xml:space="preserve"> SEQ Tabela \* ARABIC </w:instrText>
      </w:r>
      <w:r w:rsidRPr="005F333A">
        <w:rPr>
          <w:i/>
          <w:iCs/>
        </w:rPr>
        <w:fldChar w:fldCharType="separate"/>
      </w:r>
      <w:r w:rsidRPr="005F333A">
        <w:rPr>
          <w:i/>
          <w:iCs/>
        </w:rPr>
        <w:t>7</w:t>
      </w:r>
      <w:r w:rsidRPr="005F333A">
        <w:fldChar w:fldCharType="end"/>
      </w:r>
      <w:r w:rsidRPr="005F333A">
        <w:rPr>
          <w:i/>
          <w:iCs/>
        </w:rPr>
        <w:t>- Sustentabilidade Financeira</w:t>
      </w:r>
      <w:bookmarkEnd w:id="37"/>
    </w:p>
    <w:p w14:paraId="5C0FBE5E" w14:textId="77777777" w:rsidR="005F333A" w:rsidRPr="005F333A" w:rsidRDefault="005F333A" w:rsidP="005F333A">
      <w:r w:rsidRPr="005F333A">
        <w:rPr>
          <w:noProof/>
        </w:rPr>
        <w:drawing>
          <wp:inline distT="0" distB="0" distL="0" distR="0" wp14:anchorId="24A94E52" wp14:editId="0E2E5464">
            <wp:extent cx="5671185" cy="1789430"/>
            <wp:effectExtent l="0" t="0" r="5715" b="1270"/>
            <wp:docPr id="1937692277"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71185" cy="1789430"/>
                    </a:xfrm>
                    <a:prstGeom prst="rect">
                      <a:avLst/>
                    </a:prstGeom>
                    <a:noFill/>
                    <a:ln>
                      <a:noFill/>
                    </a:ln>
                  </pic:spPr>
                </pic:pic>
              </a:graphicData>
            </a:graphic>
          </wp:inline>
        </w:drawing>
      </w:r>
    </w:p>
    <w:p w14:paraId="6306FEAD" w14:textId="77777777" w:rsidR="005F333A" w:rsidRPr="005F333A" w:rsidRDefault="005F333A" w:rsidP="003A4689">
      <w:pPr>
        <w:spacing w:before="120" w:line="360" w:lineRule="auto"/>
        <w:contextualSpacing/>
        <w:jc w:val="both"/>
        <w:rPr>
          <w:rFonts w:cstheme="minorHAnsi"/>
          <w:b/>
          <w:bCs/>
        </w:rPr>
      </w:pPr>
      <w:r w:rsidRPr="005F333A">
        <w:rPr>
          <w:rFonts w:cstheme="minorHAnsi"/>
          <w:b/>
          <w:bCs/>
        </w:rPr>
        <w:t>Boas Práticas para a elaboração da Análise Financeira</w:t>
      </w:r>
    </w:p>
    <w:p w14:paraId="1E652D95"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t>Embora possam ter enquadramento elegível, as contingências de preços devem ser excluídas do custo de investimento para o cálculo da rentabilidade financeira.</w:t>
      </w:r>
    </w:p>
    <w:p w14:paraId="2A9274D6"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t>A inflação é baseada nas projeções nacionais para o IPC (Índice de Preços no Consumidor).</w:t>
      </w:r>
    </w:p>
    <w:p w14:paraId="4F990910"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t>Os custos fixos e variáveis devem ser calculados separadamente.</w:t>
      </w:r>
    </w:p>
    <w:p w14:paraId="3CFD840D"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lastRenderedPageBreak/>
        <w:t xml:space="preserve">No “cenário </w:t>
      </w:r>
      <w:proofErr w:type="spellStart"/>
      <w:r w:rsidRPr="005F333A">
        <w:rPr>
          <w:rFonts w:cstheme="minorHAnsi"/>
        </w:rPr>
        <w:t>contrafactual</w:t>
      </w:r>
      <w:proofErr w:type="spellEnd"/>
      <w:r w:rsidRPr="005F333A">
        <w:rPr>
          <w:rFonts w:cstheme="minorHAnsi"/>
        </w:rPr>
        <w:t>” sem investimento, o regime escolhido para as manutenções e para operacionalização não conduz a perdas desproporcionais de desempenho operacional. Qualquer alteração no desempenho operacional deve corresponder de forma realística ao regime de manutenção e operações escolhido.</w:t>
      </w:r>
    </w:p>
    <w:p w14:paraId="64BFCD5F"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t>Para os custos de manutenção fixos deve ser apresentada a percentagem do custo dos respetivos ativos.</w:t>
      </w:r>
    </w:p>
    <w:p w14:paraId="2D36AFDF"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t>Para os custos de manutenção variáveis deve ser apresentado o custo unitário por produção de ativos (por exemplo, EUR/tonelada, EUR/km, etc.).</w:t>
      </w:r>
    </w:p>
    <w:p w14:paraId="2605C93E"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t>Quando um projeto consiste na inclusão de novos ativos para complementar um serviço ou infraestrutura pré-existente, tanto as contribuições adicionais de utilizadores existentes quanto as contribuições de novos utilizadores do novo serviço/infraestrutura, devem ser consideradas na determinação das receitas do projeto.</w:t>
      </w:r>
    </w:p>
    <w:p w14:paraId="47061116"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t>O IVA recuperável/dedutível não deve ser incluído no EVF.</w:t>
      </w:r>
    </w:p>
    <w:p w14:paraId="4ECA505C"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t>Os custos de substituição devem ser considerados no cálculo do valor residual, se aplicável.</w:t>
      </w:r>
    </w:p>
    <w:p w14:paraId="4279AB52"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t>A depreciação de ativos, amortizações e juros de empréstimos, IVA recuperável/dedutível, Impostos diretos, dividendos pagos aos acionistas não devem ser incluídos nos custos operacionais, nem na análise da rentabilidade do investimento (VALF).</w:t>
      </w:r>
    </w:p>
    <w:p w14:paraId="50AE30B8"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t>Os subsídios à exploração, para cobrir (parte dos) custos operacionais, não devem ser incluídos nas receitas operacionais, nem na análise da rentabilidade do investimento (VALF), mas sim na análise da sustentabilidade financeira do projeto.</w:t>
      </w:r>
    </w:p>
    <w:p w14:paraId="458FEB12"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t>Os encargos cobrados pelos governos, em troca de determinados bens ou serviços, devem ser incluídos nas receitas operacionais. Por exemplo, embora uma taxa paga pelos agricultores à autoridade de irrigação seja designada de “taxa”, não se trata de uma transferência, mas de uma cobrança paga diretamente pelos utilizadores em troca do uso da água, pelo que deve ser considerado como uma receita em projetos de abastecimento de água. Outro exemplo são os ‘impostos’ pagos pelos cidadãos pelos serviços de recolha e tratamento de resíduos, que também deverão ser consideradas receitas em projetos de tratamento de resíduos.</w:t>
      </w:r>
    </w:p>
    <w:p w14:paraId="3D39DE6A"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t>As condições do empréstimo bancário associado ao financiamento do projeto devem ser devidamente explicadas na respetiva secção das fontes de financiamento.</w:t>
      </w:r>
    </w:p>
    <w:p w14:paraId="70167048" w14:textId="77777777" w:rsidR="005F333A" w:rsidRPr="005F333A" w:rsidRDefault="005F333A" w:rsidP="003A4689">
      <w:pPr>
        <w:numPr>
          <w:ilvl w:val="0"/>
          <w:numId w:val="4"/>
        </w:numPr>
        <w:spacing w:before="120" w:line="360" w:lineRule="auto"/>
        <w:contextualSpacing/>
        <w:jc w:val="both"/>
        <w:rPr>
          <w:rFonts w:cstheme="minorHAnsi"/>
        </w:rPr>
      </w:pPr>
      <w:r w:rsidRPr="005F333A">
        <w:rPr>
          <w:rFonts w:cstheme="minorHAnsi"/>
        </w:rPr>
        <w:t>As taxas de juros reais devem ser utilizadas para calcular os pagamentos de juros, sempre que a análise da sustentabilidade é realizada a preços constantes.</w:t>
      </w:r>
    </w:p>
    <w:p w14:paraId="27DE69F3" w14:textId="77777777" w:rsidR="005F333A" w:rsidRDefault="005F333A" w:rsidP="003A4689">
      <w:pPr>
        <w:spacing w:before="120" w:line="360" w:lineRule="auto"/>
        <w:contextualSpacing/>
        <w:jc w:val="both"/>
        <w:rPr>
          <w:rFonts w:cstheme="minorHAnsi"/>
        </w:rPr>
      </w:pPr>
    </w:p>
    <w:p w14:paraId="664F79CD" w14:textId="77777777" w:rsidR="003A4689" w:rsidRDefault="003A4689" w:rsidP="003A4689">
      <w:pPr>
        <w:spacing w:before="120" w:line="360" w:lineRule="auto"/>
        <w:contextualSpacing/>
        <w:jc w:val="both"/>
        <w:rPr>
          <w:rFonts w:cstheme="minorHAnsi"/>
        </w:rPr>
      </w:pPr>
    </w:p>
    <w:p w14:paraId="3ED17A7F" w14:textId="77777777" w:rsidR="003A4689" w:rsidRPr="005F333A" w:rsidRDefault="003A4689" w:rsidP="003A4689">
      <w:pPr>
        <w:spacing w:before="120" w:line="360" w:lineRule="auto"/>
        <w:contextualSpacing/>
        <w:jc w:val="both"/>
        <w:rPr>
          <w:rFonts w:cstheme="minorHAnsi"/>
        </w:rPr>
      </w:pPr>
    </w:p>
    <w:p w14:paraId="1A93696B" w14:textId="77777777" w:rsidR="005F333A" w:rsidRPr="005F333A" w:rsidRDefault="005F333A" w:rsidP="003A4689">
      <w:pPr>
        <w:numPr>
          <w:ilvl w:val="0"/>
          <w:numId w:val="1"/>
        </w:numPr>
        <w:spacing w:before="120" w:line="360" w:lineRule="auto"/>
        <w:contextualSpacing/>
        <w:jc w:val="both"/>
        <w:rPr>
          <w:rFonts w:cstheme="minorHAnsi"/>
          <w:b/>
          <w:bCs/>
        </w:rPr>
      </w:pPr>
      <w:bookmarkStart w:id="38" w:name="_Toc136629409"/>
      <w:r w:rsidRPr="005F333A">
        <w:rPr>
          <w:rFonts w:cstheme="minorHAnsi"/>
          <w:b/>
          <w:bCs/>
        </w:rPr>
        <w:lastRenderedPageBreak/>
        <w:t>Financiamento Comunitário</w:t>
      </w:r>
      <w:bookmarkEnd w:id="38"/>
    </w:p>
    <w:p w14:paraId="243FF50E" w14:textId="77777777" w:rsidR="005F333A" w:rsidRPr="005F333A" w:rsidRDefault="005F333A" w:rsidP="003A4689">
      <w:pPr>
        <w:spacing w:before="120" w:line="360" w:lineRule="auto"/>
        <w:contextualSpacing/>
        <w:jc w:val="both"/>
        <w:rPr>
          <w:rFonts w:cstheme="minorHAnsi"/>
        </w:rPr>
      </w:pPr>
      <w:r w:rsidRPr="005F333A">
        <w:rPr>
          <w:rFonts w:cstheme="minorHAnsi"/>
        </w:rPr>
        <w:t>Os resultados obtidos, através da avaliação do projeto e do apuramento dos indicadores de desempenho financeiro, deverão permitir verificar se, por um lado, se encontra demonstrado que os resultados produzidos pelo projeto contribuem para os objetivos específicos do eixo prioritário, das metas do Programa e/ou da estratégia política e, por outro, se a análise financeira, através do cálculo do VAL, da TRF e da análise da sustentabilidade financeira, determina que o projeto necessita de contribuição dos Fundos para a sua implementação, dando cumprimento às alíneas c) e d), do n.º 2, do artigo 73, do Regulamento (UE) 2021/1060 do Parlamento Europeu e do Conselho, de 24 de junho de 2021.</w:t>
      </w:r>
    </w:p>
    <w:p w14:paraId="44A8E2FE" w14:textId="77777777" w:rsidR="005F333A" w:rsidRPr="005F333A" w:rsidRDefault="005F333A" w:rsidP="003A4689">
      <w:pPr>
        <w:spacing w:before="120" w:line="360" w:lineRule="auto"/>
        <w:contextualSpacing/>
        <w:jc w:val="both"/>
        <w:rPr>
          <w:rFonts w:cstheme="minorHAnsi"/>
        </w:rPr>
      </w:pPr>
      <w:r w:rsidRPr="005F333A">
        <w:rPr>
          <w:rFonts w:cstheme="minorHAnsi"/>
        </w:rPr>
        <w:t>O número 1, do artigo 18, do Regulamento Específico do Programa, determina que no caso das “Nas operações com custo total elegível igual ou superior a 1 milhão de euros, que não constituam um auxílio de estado, em que o apoio público não seja calculado em função de montantes únicos ou tabelas normalizadas de custos unitários, a despesa elegível de uma operação é reduzida antecipadamente, tendo em conta o potencial da operação para gerar receita líquida ao longo de um determinado período de referência, que abrange tanto a fase de execução da operação, como o período após a sua conclusão, durante a fase de exploração.”</w:t>
      </w:r>
    </w:p>
    <w:p w14:paraId="1E18FA00" w14:textId="77777777" w:rsidR="005F333A" w:rsidRPr="005F333A" w:rsidRDefault="005F333A" w:rsidP="003A4689">
      <w:pPr>
        <w:spacing w:before="120" w:line="360" w:lineRule="auto"/>
        <w:contextualSpacing/>
        <w:jc w:val="both"/>
        <w:rPr>
          <w:rFonts w:cstheme="minorHAnsi"/>
        </w:rPr>
      </w:pPr>
      <w:r w:rsidRPr="005F333A">
        <w:rPr>
          <w:rFonts w:cstheme="minorHAnsi"/>
        </w:rPr>
        <w:t xml:space="preserve">A </w:t>
      </w:r>
      <w:r w:rsidRPr="005F333A">
        <w:rPr>
          <w:rFonts w:cstheme="minorHAnsi"/>
          <w:b/>
          <w:bCs/>
        </w:rPr>
        <w:t>receita líquida</w:t>
      </w:r>
      <w:r w:rsidRPr="005F333A">
        <w:rPr>
          <w:rFonts w:cstheme="minorHAnsi"/>
        </w:rPr>
        <w:t xml:space="preserve"> (operacional) corresponde às entradas de caixa pagas diretamente pelos utilizadores por bens ou serviços prestados pela operação subtraídas dos custos operacionais e dos custos de substituição de equipamento de vida curta incorridos durante o período correspondente. Como referido anteriormente, as poupanças nos custos operacionais geradas pela operação são tratadas como receita, a menos que sejam contrabalançadas por uma redução idêntica nas subvenções de exploração.</w:t>
      </w:r>
    </w:p>
    <w:p w14:paraId="3F3B8FAB" w14:textId="77777777" w:rsidR="005F333A" w:rsidRPr="005F333A" w:rsidRDefault="005F333A" w:rsidP="003A4689">
      <w:pPr>
        <w:spacing w:before="120" w:line="360" w:lineRule="auto"/>
        <w:contextualSpacing/>
        <w:jc w:val="both"/>
        <w:rPr>
          <w:rFonts w:cstheme="minorHAnsi"/>
        </w:rPr>
      </w:pPr>
    </w:p>
    <w:p w14:paraId="6B035967" w14:textId="77777777" w:rsidR="005F333A" w:rsidRPr="005F333A" w:rsidRDefault="005F333A" w:rsidP="003A4689">
      <w:pPr>
        <w:spacing w:before="120" w:line="360" w:lineRule="auto"/>
        <w:contextualSpacing/>
        <w:jc w:val="both"/>
        <w:rPr>
          <w:rFonts w:cstheme="minorHAnsi"/>
        </w:rPr>
      </w:pPr>
      <w:r w:rsidRPr="005F333A">
        <w:rPr>
          <w:rFonts w:cstheme="minorHAnsi"/>
        </w:rPr>
        <w:t>Considerando a capacidade de gerar receita líquida, são enunciadas as seguintes abordagens para o apuramento do Financiamento Comunitário:</w:t>
      </w:r>
    </w:p>
    <w:p w14:paraId="7A89ACCA" w14:textId="77777777" w:rsidR="005F333A" w:rsidRPr="005F333A" w:rsidRDefault="005F333A" w:rsidP="003A4689">
      <w:pPr>
        <w:numPr>
          <w:ilvl w:val="1"/>
          <w:numId w:val="1"/>
        </w:numPr>
        <w:spacing w:before="120" w:line="360" w:lineRule="auto"/>
        <w:contextualSpacing/>
        <w:jc w:val="both"/>
        <w:rPr>
          <w:rFonts w:cstheme="minorHAnsi"/>
          <w:b/>
          <w:bCs/>
        </w:rPr>
      </w:pPr>
      <w:bookmarkStart w:id="39" w:name="_Toc136629410"/>
      <w:r w:rsidRPr="005F333A">
        <w:rPr>
          <w:rFonts w:cstheme="minorHAnsi"/>
          <w:b/>
          <w:bCs/>
        </w:rPr>
        <w:t>Operações Não Geradoras de Receitas Líquidas</w:t>
      </w:r>
      <w:bookmarkEnd w:id="39"/>
    </w:p>
    <w:p w14:paraId="0EB6C2A3" w14:textId="77777777" w:rsidR="005F333A" w:rsidRPr="005F333A" w:rsidRDefault="005F333A" w:rsidP="003A4689">
      <w:pPr>
        <w:spacing w:before="120" w:line="360" w:lineRule="auto"/>
        <w:contextualSpacing/>
        <w:jc w:val="both"/>
        <w:rPr>
          <w:rFonts w:cstheme="minorHAnsi"/>
        </w:rPr>
      </w:pPr>
      <w:r w:rsidRPr="005F333A">
        <w:rPr>
          <w:rFonts w:cstheme="minorHAnsi"/>
        </w:rPr>
        <w:t>As operações não geradoras de receitas podem ser definidas como aquelas que:</w:t>
      </w:r>
    </w:p>
    <w:p w14:paraId="1455A76E" w14:textId="77777777" w:rsidR="005F333A" w:rsidRPr="005F333A" w:rsidRDefault="005F333A" w:rsidP="003A4689">
      <w:pPr>
        <w:numPr>
          <w:ilvl w:val="0"/>
          <w:numId w:val="6"/>
        </w:numPr>
        <w:spacing w:before="120" w:line="360" w:lineRule="auto"/>
        <w:contextualSpacing/>
        <w:jc w:val="both"/>
        <w:rPr>
          <w:rFonts w:cstheme="minorHAnsi"/>
        </w:rPr>
      </w:pPr>
      <w:r w:rsidRPr="005F333A">
        <w:rPr>
          <w:rFonts w:cstheme="minorHAnsi"/>
        </w:rPr>
        <w:t>Não gerem quaisquer receitas, nem durante o período de execução física e financeira da operação nem durante o período de exploração;</w:t>
      </w:r>
    </w:p>
    <w:p w14:paraId="3504F3FD" w14:textId="77777777" w:rsidR="005F333A" w:rsidRPr="005F333A" w:rsidRDefault="005F333A" w:rsidP="003A4689">
      <w:pPr>
        <w:numPr>
          <w:ilvl w:val="0"/>
          <w:numId w:val="6"/>
        </w:numPr>
        <w:spacing w:before="120" w:line="360" w:lineRule="auto"/>
        <w:contextualSpacing/>
        <w:jc w:val="both"/>
        <w:rPr>
          <w:rFonts w:cstheme="minorHAnsi"/>
        </w:rPr>
      </w:pPr>
      <w:r w:rsidRPr="005F333A">
        <w:rPr>
          <w:rFonts w:cstheme="minorHAnsi"/>
        </w:rPr>
        <w:t>Gerem receitas significativamente mais baixas do que os custos operacionais ao longo de todo o período de referência;</w:t>
      </w:r>
    </w:p>
    <w:p w14:paraId="1A110043" w14:textId="77777777" w:rsidR="005F333A" w:rsidRPr="005F333A" w:rsidRDefault="005F333A" w:rsidP="003A4689">
      <w:pPr>
        <w:numPr>
          <w:ilvl w:val="0"/>
          <w:numId w:val="6"/>
        </w:numPr>
        <w:spacing w:before="120" w:line="360" w:lineRule="auto"/>
        <w:contextualSpacing/>
        <w:jc w:val="both"/>
        <w:rPr>
          <w:rFonts w:cstheme="minorHAnsi"/>
        </w:rPr>
      </w:pPr>
      <w:r w:rsidRPr="005F333A">
        <w:rPr>
          <w:rFonts w:cstheme="minorHAnsi"/>
        </w:rPr>
        <w:t>Gerem receitas que podem exceder os custos em alguns dos anos do período de referência, mas cuja receita líquida atualizada se revele negativa no mesmo período.</w:t>
      </w:r>
    </w:p>
    <w:p w14:paraId="1943CB88" w14:textId="77777777" w:rsidR="005F333A" w:rsidRPr="005F333A" w:rsidRDefault="005F333A" w:rsidP="003A4689">
      <w:pPr>
        <w:spacing w:before="120" w:line="360" w:lineRule="auto"/>
        <w:contextualSpacing/>
        <w:jc w:val="both"/>
        <w:rPr>
          <w:rFonts w:cstheme="minorHAnsi"/>
        </w:rPr>
      </w:pPr>
      <w:r w:rsidRPr="005F333A">
        <w:rPr>
          <w:rFonts w:cstheme="minorHAnsi"/>
        </w:rPr>
        <w:lastRenderedPageBreak/>
        <w:t xml:space="preserve">Atente-se que, nos casos </w:t>
      </w:r>
      <w:proofErr w:type="spellStart"/>
      <w:r w:rsidRPr="005F333A">
        <w:rPr>
          <w:rFonts w:cstheme="minorHAnsi"/>
        </w:rPr>
        <w:t>ii</w:t>
      </w:r>
      <w:proofErr w:type="spellEnd"/>
      <w:r w:rsidRPr="005F333A">
        <w:rPr>
          <w:rFonts w:cstheme="minorHAnsi"/>
        </w:rPr>
        <w:t xml:space="preserve"> e </w:t>
      </w:r>
      <w:proofErr w:type="spellStart"/>
      <w:r w:rsidRPr="005F333A">
        <w:rPr>
          <w:rFonts w:cstheme="minorHAnsi"/>
        </w:rPr>
        <w:t>iii</w:t>
      </w:r>
      <w:proofErr w:type="spellEnd"/>
      <w:r w:rsidRPr="005F333A">
        <w:rPr>
          <w:rFonts w:cstheme="minorHAnsi"/>
        </w:rPr>
        <w:t>, e para os quais a receita líquida se afigure negativa, não será considerada suficiente uma fundamentação empírica desta realidade, devendo o Beneficiário apresentar um EVF, nos termos do ponto 2 do presente documento, que comprove tal situação.</w:t>
      </w:r>
    </w:p>
    <w:p w14:paraId="58E3D4EE" w14:textId="77777777" w:rsidR="005F333A" w:rsidRPr="005F333A" w:rsidRDefault="005F333A" w:rsidP="003A4689">
      <w:pPr>
        <w:spacing w:before="120" w:line="360" w:lineRule="auto"/>
        <w:contextualSpacing/>
        <w:jc w:val="both"/>
        <w:rPr>
          <w:rFonts w:cstheme="minorHAnsi"/>
        </w:rPr>
      </w:pPr>
      <w:r w:rsidRPr="005F333A">
        <w:rPr>
          <w:rFonts w:cstheme="minorHAnsi"/>
        </w:rPr>
        <w:t>Tratando-se de um projeto gerador de receitas líquidas negativas, a contribuição da União Europeia é apurada da seguinte forma:</w:t>
      </w:r>
    </w:p>
    <w:p w14:paraId="376C94F7" w14:textId="38874C00" w:rsidR="005F333A" w:rsidRPr="005F333A" w:rsidRDefault="005F333A" w:rsidP="003A4689">
      <w:pPr>
        <w:spacing w:before="120" w:line="360" w:lineRule="auto"/>
        <w:contextualSpacing/>
        <w:jc w:val="both"/>
        <w:rPr>
          <w:rFonts w:cstheme="minorHAnsi"/>
          <w:b/>
          <w:bCs/>
        </w:rPr>
      </w:pPr>
      <m:oMathPara>
        <m:oMath>
          <m:r>
            <m:rPr>
              <m:sty m:val="bi"/>
            </m:rPr>
            <w:rPr>
              <w:rFonts w:ascii="Cambria Math" w:hAnsi="Cambria Math" w:cstheme="minorHAnsi"/>
            </w:rPr>
            <m:t xml:space="preserve">Contribuição da União Europeia=Valor Máximo Elegível *Taxa Financiamento do Programa  </m:t>
          </m:r>
        </m:oMath>
      </m:oMathPara>
    </w:p>
    <w:p w14:paraId="5B9B8DC9" w14:textId="77777777" w:rsidR="005F333A" w:rsidRPr="005F333A" w:rsidRDefault="005F333A" w:rsidP="003A4689">
      <w:pPr>
        <w:numPr>
          <w:ilvl w:val="1"/>
          <w:numId w:val="1"/>
        </w:numPr>
        <w:spacing w:before="120" w:line="360" w:lineRule="auto"/>
        <w:contextualSpacing/>
        <w:jc w:val="both"/>
        <w:rPr>
          <w:rFonts w:cstheme="minorHAnsi"/>
          <w:b/>
          <w:bCs/>
        </w:rPr>
      </w:pPr>
      <w:bookmarkStart w:id="40" w:name="_Toc136629411"/>
      <w:r w:rsidRPr="005F333A">
        <w:rPr>
          <w:rFonts w:cstheme="minorHAnsi"/>
          <w:b/>
          <w:bCs/>
        </w:rPr>
        <w:t>Operações Geradoras de Receitas Líquidas e Aplicação do Método do Défice de Financiamento</w:t>
      </w:r>
      <w:bookmarkEnd w:id="40"/>
    </w:p>
    <w:p w14:paraId="799B51DA" w14:textId="77777777" w:rsidR="005F333A" w:rsidRPr="005F333A" w:rsidRDefault="005F333A" w:rsidP="003A4689">
      <w:pPr>
        <w:spacing w:before="120" w:line="360" w:lineRule="auto"/>
        <w:contextualSpacing/>
        <w:jc w:val="both"/>
        <w:rPr>
          <w:rFonts w:cstheme="minorHAnsi"/>
        </w:rPr>
      </w:pPr>
      <w:r w:rsidRPr="005F333A">
        <w:rPr>
          <w:rFonts w:cstheme="minorHAnsi"/>
        </w:rPr>
        <w:t xml:space="preserve">Regra geral, deve ser aplicado o Método de Défice de Financiamento aos projetos geradores de receitas líquidas positivas, por conseguinte, para um projeto poder obter contribuição da União Europeia, deve evidenciar:  </w:t>
      </w:r>
    </w:p>
    <w:p w14:paraId="569FFF5F" w14:textId="5DFB8B7F" w:rsidR="005F333A" w:rsidRPr="005F333A" w:rsidRDefault="005F333A" w:rsidP="003A4689">
      <w:pPr>
        <w:spacing w:before="120" w:line="360" w:lineRule="auto"/>
        <w:contextualSpacing/>
        <w:jc w:val="both"/>
        <w:rPr>
          <w:rFonts w:cstheme="minorHAnsi"/>
          <w:b/>
          <w:bCs/>
        </w:rPr>
      </w:pPr>
      <m:oMathPara>
        <m:oMath>
          <m:r>
            <m:rPr>
              <m:sty m:val="bi"/>
            </m:rPr>
            <w:rPr>
              <w:rFonts w:ascii="Cambria Math" w:hAnsi="Cambria Math" w:cstheme="minorHAnsi"/>
            </w:rPr>
            <m:t>VALF&lt;0</m:t>
          </m:r>
        </m:oMath>
      </m:oMathPara>
    </w:p>
    <w:p w14:paraId="5314BDFF" w14:textId="7F2E4E49" w:rsidR="005F333A" w:rsidRPr="005F333A" w:rsidRDefault="005F333A" w:rsidP="003A4689">
      <w:pPr>
        <w:spacing w:before="120" w:line="360" w:lineRule="auto"/>
        <w:contextualSpacing/>
        <w:jc w:val="both"/>
        <w:rPr>
          <w:rFonts w:cstheme="minorHAnsi"/>
          <w:b/>
        </w:rPr>
      </w:pPr>
      <m:oMathPara>
        <m:oMath>
          <m:r>
            <m:rPr>
              <m:sty m:val="bi"/>
            </m:rPr>
            <w:rPr>
              <w:rFonts w:ascii="Cambria Math" w:hAnsi="Cambria Math" w:cstheme="minorHAnsi"/>
            </w:rPr>
            <m:t>TRF&lt;i</m:t>
          </m:r>
        </m:oMath>
      </m:oMathPara>
    </w:p>
    <w:p w14:paraId="5DC9BB59" w14:textId="77777777" w:rsidR="005F333A" w:rsidRPr="005F333A" w:rsidRDefault="005F333A" w:rsidP="003A4689">
      <w:pPr>
        <w:spacing w:before="120" w:line="360" w:lineRule="auto"/>
        <w:contextualSpacing/>
        <w:jc w:val="both"/>
        <w:rPr>
          <w:rFonts w:cstheme="minorHAnsi"/>
        </w:rPr>
      </w:pPr>
      <w:r w:rsidRPr="005F333A">
        <w:rPr>
          <w:rFonts w:cstheme="minorHAnsi"/>
        </w:rPr>
        <w:t>Verificadas as condições acima enunciadas, é apurada a taxa do défice de financiamento do projeto:</w:t>
      </w:r>
    </w:p>
    <w:p w14:paraId="1F252BC3" w14:textId="77777777" w:rsidR="005F333A" w:rsidRPr="005F333A" w:rsidRDefault="005F333A" w:rsidP="003A4689">
      <w:pPr>
        <w:spacing w:before="120" w:line="360" w:lineRule="auto"/>
        <w:contextualSpacing/>
        <w:jc w:val="both"/>
        <w:rPr>
          <w:rFonts w:cstheme="minorHAnsi"/>
          <w:i/>
          <w:iCs/>
        </w:rPr>
      </w:pPr>
      <w:bookmarkStart w:id="41" w:name="_Toc135994786"/>
      <w:r w:rsidRPr="005F333A">
        <w:rPr>
          <w:rFonts w:cstheme="minorHAnsi"/>
          <w:i/>
          <w:iCs/>
        </w:rPr>
        <w:t xml:space="preserve">Tabela </w:t>
      </w:r>
      <w:r w:rsidRPr="005F333A">
        <w:rPr>
          <w:rFonts w:cstheme="minorHAnsi"/>
          <w:i/>
          <w:iCs/>
        </w:rPr>
        <w:fldChar w:fldCharType="begin"/>
      </w:r>
      <w:r w:rsidRPr="005F333A">
        <w:rPr>
          <w:rFonts w:cstheme="minorHAnsi"/>
          <w:i/>
          <w:iCs/>
        </w:rPr>
        <w:instrText xml:space="preserve"> SEQ Tabela \* ARABIC </w:instrText>
      </w:r>
      <w:r w:rsidRPr="005F333A">
        <w:rPr>
          <w:rFonts w:cstheme="minorHAnsi"/>
          <w:i/>
          <w:iCs/>
        </w:rPr>
        <w:fldChar w:fldCharType="separate"/>
      </w:r>
      <w:r w:rsidRPr="005F333A">
        <w:rPr>
          <w:rFonts w:cstheme="minorHAnsi"/>
          <w:i/>
          <w:iCs/>
        </w:rPr>
        <w:t>8</w:t>
      </w:r>
      <w:r w:rsidRPr="005F333A">
        <w:rPr>
          <w:rFonts w:cstheme="minorHAnsi"/>
        </w:rPr>
        <w:fldChar w:fldCharType="end"/>
      </w:r>
      <w:r w:rsidRPr="005F333A">
        <w:rPr>
          <w:rFonts w:cstheme="minorHAnsi"/>
          <w:i/>
          <w:iCs/>
        </w:rPr>
        <w:t xml:space="preserve"> - Apuramento do Défice de Financiamento (exemplo)</w:t>
      </w:r>
      <w:bookmarkEnd w:id="41"/>
    </w:p>
    <w:tbl>
      <w:tblPr>
        <w:tblStyle w:val="TabelacomGrelha"/>
        <w:tblW w:w="0" w:type="auto"/>
        <w:jc w:val="center"/>
        <w:tblLook w:val="04A0" w:firstRow="1" w:lastRow="0" w:firstColumn="1" w:lastColumn="0" w:noHBand="0" w:noVBand="1"/>
      </w:tblPr>
      <w:tblGrid>
        <w:gridCol w:w="1267"/>
        <w:gridCol w:w="5494"/>
        <w:gridCol w:w="2158"/>
      </w:tblGrid>
      <w:tr w:rsidR="005F333A" w:rsidRPr="005F333A" w14:paraId="42E872E9" w14:textId="77777777" w:rsidTr="001D647C">
        <w:trPr>
          <w:jc w:val="center"/>
        </w:trPr>
        <w:tc>
          <w:tcPr>
            <w:tcW w:w="1267" w:type="dxa"/>
            <w:tcBorders>
              <w:bottom w:val="single" w:sz="4" w:space="0" w:color="auto"/>
            </w:tcBorders>
            <w:shd w:val="clear" w:color="auto" w:fill="2F5496" w:themeFill="accent1" w:themeFillShade="BF"/>
            <w:vAlign w:val="center"/>
          </w:tcPr>
          <w:p w14:paraId="700C96ED" w14:textId="77777777" w:rsidR="005F333A" w:rsidRPr="005F333A" w:rsidRDefault="005F333A" w:rsidP="005F333A">
            <w:pPr>
              <w:rPr>
                <w:b/>
              </w:rPr>
            </w:pPr>
          </w:p>
        </w:tc>
        <w:tc>
          <w:tcPr>
            <w:tcW w:w="5494" w:type="dxa"/>
            <w:tcBorders>
              <w:bottom w:val="single" w:sz="4" w:space="0" w:color="auto"/>
            </w:tcBorders>
            <w:shd w:val="clear" w:color="auto" w:fill="2F5496" w:themeFill="accent1" w:themeFillShade="BF"/>
            <w:vAlign w:val="center"/>
          </w:tcPr>
          <w:p w14:paraId="2E07000E" w14:textId="77777777" w:rsidR="005F333A" w:rsidRPr="005F333A" w:rsidRDefault="005F333A" w:rsidP="005F333A">
            <w:pPr>
              <w:rPr>
                <w:b/>
              </w:rPr>
            </w:pPr>
            <w:r w:rsidRPr="005F333A">
              <w:rPr>
                <w:b/>
              </w:rPr>
              <w:t>Principais elementos e parâmetros</w:t>
            </w:r>
          </w:p>
        </w:tc>
        <w:tc>
          <w:tcPr>
            <w:tcW w:w="2158" w:type="dxa"/>
            <w:tcBorders>
              <w:bottom w:val="single" w:sz="4" w:space="0" w:color="auto"/>
            </w:tcBorders>
            <w:shd w:val="clear" w:color="auto" w:fill="2F5496" w:themeFill="accent1" w:themeFillShade="BF"/>
            <w:vAlign w:val="center"/>
          </w:tcPr>
          <w:p w14:paraId="5D99D999" w14:textId="77777777" w:rsidR="005F333A" w:rsidRPr="005F333A" w:rsidRDefault="005F333A" w:rsidP="005F333A">
            <w:pPr>
              <w:rPr>
                <w:b/>
              </w:rPr>
            </w:pPr>
            <w:r w:rsidRPr="005F333A">
              <w:rPr>
                <w:b/>
              </w:rPr>
              <w:t>Valor atualizado</w:t>
            </w:r>
          </w:p>
          <w:p w14:paraId="723DAB7B" w14:textId="77777777" w:rsidR="005F333A" w:rsidRPr="005F333A" w:rsidRDefault="005F333A" w:rsidP="005F333A">
            <w:pPr>
              <w:rPr>
                <w:b/>
              </w:rPr>
            </w:pPr>
            <w:r w:rsidRPr="005F333A">
              <w:rPr>
                <w:b/>
              </w:rPr>
              <w:t>(preços constantes)</w:t>
            </w:r>
          </w:p>
        </w:tc>
      </w:tr>
      <w:tr w:rsidR="005F333A" w:rsidRPr="005F333A" w14:paraId="7843ED62" w14:textId="77777777" w:rsidTr="001D647C">
        <w:trPr>
          <w:trHeight w:val="284"/>
          <w:jc w:val="center"/>
        </w:trPr>
        <w:tc>
          <w:tcPr>
            <w:tcW w:w="1267" w:type="dxa"/>
            <w:tcBorders>
              <w:bottom w:val="dotted" w:sz="4" w:space="0" w:color="auto"/>
            </w:tcBorders>
          </w:tcPr>
          <w:p w14:paraId="6A8D3DC4" w14:textId="77777777" w:rsidR="005F333A" w:rsidRPr="005F333A" w:rsidRDefault="005F333A" w:rsidP="005F333A">
            <w:r w:rsidRPr="005F333A">
              <w:t>1</w:t>
            </w:r>
          </w:p>
        </w:tc>
        <w:tc>
          <w:tcPr>
            <w:tcW w:w="5494" w:type="dxa"/>
            <w:tcBorders>
              <w:bottom w:val="dotted" w:sz="4" w:space="0" w:color="auto"/>
            </w:tcBorders>
          </w:tcPr>
          <w:p w14:paraId="47878256" w14:textId="77777777" w:rsidR="005F333A" w:rsidRPr="005F333A" w:rsidRDefault="005F333A" w:rsidP="005F333A">
            <w:r w:rsidRPr="005F333A">
              <w:t xml:space="preserve">Custo Total do Investimento </w:t>
            </w:r>
          </w:p>
        </w:tc>
        <w:tc>
          <w:tcPr>
            <w:tcW w:w="2158" w:type="dxa"/>
            <w:tcBorders>
              <w:bottom w:val="dotted" w:sz="4" w:space="0" w:color="auto"/>
            </w:tcBorders>
            <w:shd w:val="clear" w:color="auto" w:fill="B4C6E7" w:themeFill="accent1" w:themeFillTint="66"/>
          </w:tcPr>
          <w:p w14:paraId="349FF9EE" w14:textId="77777777" w:rsidR="005F333A" w:rsidRPr="005F333A" w:rsidRDefault="005F333A" w:rsidP="005F333A">
            <w:r w:rsidRPr="005F333A">
              <w:t>44.211.681,00</w:t>
            </w:r>
          </w:p>
        </w:tc>
      </w:tr>
      <w:tr w:rsidR="005F333A" w:rsidRPr="005F333A" w14:paraId="01A177EF" w14:textId="77777777" w:rsidTr="001D647C">
        <w:trPr>
          <w:jc w:val="center"/>
        </w:trPr>
        <w:tc>
          <w:tcPr>
            <w:tcW w:w="1267" w:type="dxa"/>
            <w:tcBorders>
              <w:top w:val="dotted" w:sz="4" w:space="0" w:color="auto"/>
              <w:bottom w:val="dotted" w:sz="4" w:space="0" w:color="auto"/>
            </w:tcBorders>
          </w:tcPr>
          <w:p w14:paraId="60F6C535" w14:textId="77777777" w:rsidR="005F333A" w:rsidRPr="005F333A" w:rsidRDefault="005F333A" w:rsidP="005F333A">
            <w:r w:rsidRPr="005F333A">
              <w:t>2</w:t>
            </w:r>
          </w:p>
        </w:tc>
        <w:tc>
          <w:tcPr>
            <w:tcW w:w="5494" w:type="dxa"/>
            <w:tcBorders>
              <w:top w:val="dotted" w:sz="4" w:space="0" w:color="auto"/>
              <w:bottom w:val="dotted" w:sz="4" w:space="0" w:color="auto"/>
            </w:tcBorders>
          </w:tcPr>
          <w:p w14:paraId="75F85ECA" w14:textId="77777777" w:rsidR="005F333A" w:rsidRPr="005F333A" w:rsidRDefault="005F333A" w:rsidP="005F333A">
            <w:r w:rsidRPr="005F333A">
              <w:t>Valor Residual</w:t>
            </w:r>
          </w:p>
        </w:tc>
        <w:tc>
          <w:tcPr>
            <w:tcW w:w="2158" w:type="dxa"/>
            <w:tcBorders>
              <w:top w:val="dotted" w:sz="4" w:space="0" w:color="auto"/>
              <w:bottom w:val="dotted" w:sz="4" w:space="0" w:color="auto"/>
            </w:tcBorders>
            <w:shd w:val="clear" w:color="auto" w:fill="B4C6E7" w:themeFill="accent1" w:themeFillTint="66"/>
            <w:vAlign w:val="center"/>
          </w:tcPr>
          <w:p w14:paraId="545951BC" w14:textId="77777777" w:rsidR="005F333A" w:rsidRPr="005F333A" w:rsidRDefault="005F333A" w:rsidP="005F333A">
            <w:r w:rsidRPr="005F333A">
              <w:t>96.175,00</w:t>
            </w:r>
          </w:p>
        </w:tc>
      </w:tr>
      <w:tr w:rsidR="005F333A" w:rsidRPr="005F333A" w14:paraId="52457713" w14:textId="77777777" w:rsidTr="001D647C">
        <w:trPr>
          <w:trHeight w:val="281"/>
          <w:jc w:val="center"/>
        </w:trPr>
        <w:tc>
          <w:tcPr>
            <w:tcW w:w="1267" w:type="dxa"/>
            <w:tcBorders>
              <w:top w:val="dotted" w:sz="4" w:space="0" w:color="auto"/>
              <w:bottom w:val="dotted" w:sz="4" w:space="0" w:color="auto"/>
            </w:tcBorders>
          </w:tcPr>
          <w:p w14:paraId="2A82CF1D" w14:textId="77777777" w:rsidR="005F333A" w:rsidRPr="005F333A" w:rsidRDefault="005F333A" w:rsidP="005F333A">
            <w:r w:rsidRPr="005F333A">
              <w:t>3</w:t>
            </w:r>
          </w:p>
        </w:tc>
        <w:tc>
          <w:tcPr>
            <w:tcW w:w="5494" w:type="dxa"/>
            <w:tcBorders>
              <w:top w:val="dotted" w:sz="4" w:space="0" w:color="auto"/>
              <w:bottom w:val="dotted" w:sz="4" w:space="0" w:color="auto"/>
            </w:tcBorders>
          </w:tcPr>
          <w:p w14:paraId="7750435B" w14:textId="77777777" w:rsidR="005F333A" w:rsidRPr="005F333A" w:rsidRDefault="005F333A" w:rsidP="005F333A">
            <w:r w:rsidRPr="005F333A">
              <w:t>Receitas Operacionais</w:t>
            </w:r>
          </w:p>
        </w:tc>
        <w:tc>
          <w:tcPr>
            <w:tcW w:w="2158" w:type="dxa"/>
            <w:tcBorders>
              <w:top w:val="dotted" w:sz="4" w:space="0" w:color="auto"/>
              <w:bottom w:val="dotted" w:sz="4" w:space="0" w:color="auto"/>
            </w:tcBorders>
            <w:shd w:val="clear" w:color="auto" w:fill="B4C6E7" w:themeFill="accent1" w:themeFillTint="66"/>
            <w:vAlign w:val="center"/>
          </w:tcPr>
          <w:p w14:paraId="5D34EBC3" w14:textId="77777777" w:rsidR="005F333A" w:rsidRPr="005F333A" w:rsidRDefault="005F333A" w:rsidP="005F333A">
            <w:r w:rsidRPr="005F333A">
              <w:t>18.000.000,00</w:t>
            </w:r>
          </w:p>
        </w:tc>
      </w:tr>
      <w:tr w:rsidR="005F333A" w:rsidRPr="005F333A" w14:paraId="75BFB251" w14:textId="77777777" w:rsidTr="001D647C">
        <w:trPr>
          <w:jc w:val="center"/>
        </w:trPr>
        <w:tc>
          <w:tcPr>
            <w:tcW w:w="1267" w:type="dxa"/>
            <w:tcBorders>
              <w:top w:val="dotted" w:sz="4" w:space="0" w:color="auto"/>
              <w:bottom w:val="dotted" w:sz="4" w:space="0" w:color="auto"/>
            </w:tcBorders>
          </w:tcPr>
          <w:p w14:paraId="4DF5E892" w14:textId="77777777" w:rsidR="005F333A" w:rsidRPr="005F333A" w:rsidRDefault="005F333A" w:rsidP="005F333A">
            <w:r w:rsidRPr="005F333A">
              <w:t>4</w:t>
            </w:r>
          </w:p>
        </w:tc>
        <w:tc>
          <w:tcPr>
            <w:tcW w:w="5494" w:type="dxa"/>
            <w:tcBorders>
              <w:top w:val="dotted" w:sz="4" w:space="0" w:color="auto"/>
              <w:bottom w:val="dotted" w:sz="4" w:space="0" w:color="auto"/>
            </w:tcBorders>
          </w:tcPr>
          <w:p w14:paraId="6DE80C9E" w14:textId="77777777" w:rsidR="005F333A" w:rsidRPr="005F333A" w:rsidRDefault="005F333A" w:rsidP="005F333A">
            <w:r w:rsidRPr="005F333A">
              <w:t>Custos Operacionais</w:t>
            </w:r>
          </w:p>
        </w:tc>
        <w:tc>
          <w:tcPr>
            <w:tcW w:w="2158" w:type="dxa"/>
            <w:tcBorders>
              <w:top w:val="dotted" w:sz="4" w:space="0" w:color="auto"/>
              <w:bottom w:val="dotted" w:sz="4" w:space="0" w:color="auto"/>
            </w:tcBorders>
            <w:shd w:val="clear" w:color="auto" w:fill="B4C6E7" w:themeFill="accent1" w:themeFillTint="66"/>
            <w:vAlign w:val="center"/>
          </w:tcPr>
          <w:p w14:paraId="7A38F298" w14:textId="77777777" w:rsidR="005F333A" w:rsidRPr="005F333A" w:rsidRDefault="005F333A" w:rsidP="005F333A">
            <w:r w:rsidRPr="005F333A">
              <w:t>10.000.000,00</w:t>
            </w:r>
          </w:p>
        </w:tc>
      </w:tr>
      <w:tr w:rsidR="005F333A" w:rsidRPr="005F333A" w14:paraId="26D36E8B" w14:textId="77777777" w:rsidTr="001D647C">
        <w:trPr>
          <w:jc w:val="center"/>
        </w:trPr>
        <w:tc>
          <w:tcPr>
            <w:tcW w:w="1267" w:type="dxa"/>
            <w:tcBorders>
              <w:top w:val="dotted" w:sz="4" w:space="0" w:color="auto"/>
              <w:bottom w:val="single" w:sz="4" w:space="0" w:color="auto"/>
            </w:tcBorders>
          </w:tcPr>
          <w:p w14:paraId="5628CC6E" w14:textId="77777777" w:rsidR="005F333A" w:rsidRPr="005F333A" w:rsidRDefault="005F333A" w:rsidP="005F333A">
            <w:r w:rsidRPr="005F333A">
              <w:t>5</w:t>
            </w:r>
          </w:p>
        </w:tc>
        <w:tc>
          <w:tcPr>
            <w:tcW w:w="5494" w:type="dxa"/>
            <w:tcBorders>
              <w:top w:val="dotted" w:sz="4" w:space="0" w:color="auto"/>
              <w:bottom w:val="single" w:sz="4" w:space="0" w:color="auto"/>
            </w:tcBorders>
          </w:tcPr>
          <w:p w14:paraId="76376D4D" w14:textId="77777777" w:rsidR="005F333A" w:rsidRPr="005F333A" w:rsidRDefault="005F333A" w:rsidP="005F333A">
            <w:r w:rsidRPr="005F333A">
              <w:t xml:space="preserve">Custo de Substituição </w:t>
            </w:r>
          </w:p>
        </w:tc>
        <w:tc>
          <w:tcPr>
            <w:tcW w:w="2158" w:type="dxa"/>
            <w:tcBorders>
              <w:top w:val="dotted" w:sz="4" w:space="0" w:color="auto"/>
              <w:bottom w:val="single" w:sz="4" w:space="0" w:color="auto"/>
            </w:tcBorders>
            <w:shd w:val="clear" w:color="auto" w:fill="B4C6E7" w:themeFill="accent1" w:themeFillTint="66"/>
            <w:vAlign w:val="center"/>
          </w:tcPr>
          <w:p w14:paraId="47691EE7" w14:textId="77777777" w:rsidR="005F333A" w:rsidRPr="005F333A" w:rsidRDefault="005F333A" w:rsidP="005F333A">
            <w:r w:rsidRPr="005F333A">
              <w:t>700.000,00</w:t>
            </w:r>
          </w:p>
        </w:tc>
      </w:tr>
      <w:tr w:rsidR="005F333A" w:rsidRPr="005F333A" w14:paraId="195C0BB5" w14:textId="77777777" w:rsidTr="001D647C">
        <w:trPr>
          <w:jc w:val="center"/>
        </w:trPr>
        <w:tc>
          <w:tcPr>
            <w:tcW w:w="8919" w:type="dxa"/>
            <w:gridSpan w:val="3"/>
            <w:tcBorders>
              <w:left w:val="nil"/>
              <w:bottom w:val="single" w:sz="4" w:space="0" w:color="auto"/>
              <w:right w:val="nil"/>
            </w:tcBorders>
          </w:tcPr>
          <w:p w14:paraId="1844902F" w14:textId="77777777" w:rsidR="005F333A" w:rsidRPr="005F333A" w:rsidRDefault="005F333A" w:rsidP="005F333A">
            <w:pPr>
              <w:rPr>
                <w:b/>
              </w:rPr>
            </w:pPr>
            <w:r w:rsidRPr="005F333A">
              <w:rPr>
                <w:b/>
              </w:rPr>
              <w:t xml:space="preserve">Aplicação </w:t>
            </w:r>
            <w:r w:rsidRPr="005F333A">
              <w:rPr>
                <w:b/>
                <w:i/>
              </w:rPr>
              <w:t>pro rata</w:t>
            </w:r>
            <w:r w:rsidRPr="005F333A">
              <w:rPr>
                <w:b/>
              </w:rPr>
              <w:t xml:space="preserve"> da receita líquida atualizada</w:t>
            </w:r>
          </w:p>
        </w:tc>
      </w:tr>
      <w:tr w:rsidR="005F333A" w:rsidRPr="005F333A" w14:paraId="3299D2BC" w14:textId="77777777" w:rsidTr="001D647C">
        <w:trPr>
          <w:jc w:val="center"/>
        </w:trPr>
        <w:tc>
          <w:tcPr>
            <w:tcW w:w="1267" w:type="dxa"/>
            <w:tcBorders>
              <w:bottom w:val="dotted" w:sz="4" w:space="0" w:color="auto"/>
            </w:tcBorders>
            <w:vAlign w:val="center"/>
          </w:tcPr>
          <w:p w14:paraId="7B39CDCE" w14:textId="77777777" w:rsidR="005F333A" w:rsidRPr="005F333A" w:rsidRDefault="005F333A" w:rsidP="005F333A">
            <w:r w:rsidRPr="005F333A">
              <w:t>6</w:t>
            </w:r>
          </w:p>
        </w:tc>
        <w:tc>
          <w:tcPr>
            <w:tcW w:w="5494" w:type="dxa"/>
            <w:tcBorders>
              <w:bottom w:val="dotted" w:sz="4" w:space="0" w:color="auto"/>
            </w:tcBorders>
          </w:tcPr>
          <w:p w14:paraId="73995ABC" w14:textId="77777777" w:rsidR="005F333A" w:rsidRPr="005F333A" w:rsidRDefault="005F333A" w:rsidP="005F333A">
            <w:r w:rsidRPr="005F333A">
              <w:t>Receitas Líquidas = Receitas Operacionais – Custos Operacionais – Custos de Substituição + Valor Residual = (3) - (4) – (5) + (2)</w:t>
            </w:r>
          </w:p>
        </w:tc>
        <w:tc>
          <w:tcPr>
            <w:tcW w:w="2158" w:type="dxa"/>
            <w:tcBorders>
              <w:bottom w:val="dotted" w:sz="4" w:space="0" w:color="auto"/>
            </w:tcBorders>
            <w:shd w:val="clear" w:color="auto" w:fill="B4C6E7" w:themeFill="accent1" w:themeFillTint="66"/>
            <w:vAlign w:val="center"/>
          </w:tcPr>
          <w:p w14:paraId="5D3AC4B9" w14:textId="77777777" w:rsidR="005F333A" w:rsidRPr="005F333A" w:rsidRDefault="005F333A" w:rsidP="005F333A">
            <w:r w:rsidRPr="005F333A">
              <w:t>7.396.175,00</w:t>
            </w:r>
          </w:p>
        </w:tc>
      </w:tr>
      <w:tr w:rsidR="005F333A" w:rsidRPr="005F333A" w14:paraId="6078E10E" w14:textId="77777777" w:rsidTr="001D647C">
        <w:trPr>
          <w:jc w:val="center"/>
        </w:trPr>
        <w:tc>
          <w:tcPr>
            <w:tcW w:w="1267" w:type="dxa"/>
            <w:tcBorders>
              <w:top w:val="dotted" w:sz="4" w:space="0" w:color="auto"/>
              <w:bottom w:val="dotted" w:sz="4" w:space="0" w:color="auto"/>
            </w:tcBorders>
          </w:tcPr>
          <w:p w14:paraId="523654DB" w14:textId="77777777" w:rsidR="005F333A" w:rsidRPr="005F333A" w:rsidRDefault="005F333A" w:rsidP="005F333A">
            <w:r w:rsidRPr="005F333A">
              <w:t>7</w:t>
            </w:r>
          </w:p>
        </w:tc>
        <w:tc>
          <w:tcPr>
            <w:tcW w:w="5494" w:type="dxa"/>
            <w:tcBorders>
              <w:top w:val="dotted" w:sz="4" w:space="0" w:color="auto"/>
              <w:bottom w:val="dotted" w:sz="4" w:space="0" w:color="auto"/>
            </w:tcBorders>
          </w:tcPr>
          <w:p w14:paraId="0962383E" w14:textId="77777777" w:rsidR="005F333A" w:rsidRPr="005F333A" w:rsidRDefault="005F333A" w:rsidP="005F333A">
            <w:r w:rsidRPr="005F333A">
              <w:t>Custo Total do Investimento – Receitas Líquidas = (1) - (6)</w:t>
            </w:r>
          </w:p>
        </w:tc>
        <w:tc>
          <w:tcPr>
            <w:tcW w:w="2158" w:type="dxa"/>
            <w:tcBorders>
              <w:top w:val="dotted" w:sz="4" w:space="0" w:color="auto"/>
              <w:bottom w:val="dotted" w:sz="4" w:space="0" w:color="auto"/>
            </w:tcBorders>
            <w:shd w:val="clear" w:color="auto" w:fill="B4C6E7" w:themeFill="accent1" w:themeFillTint="66"/>
            <w:vAlign w:val="center"/>
          </w:tcPr>
          <w:p w14:paraId="18145E78" w14:textId="77777777" w:rsidR="005F333A" w:rsidRPr="005F333A" w:rsidRDefault="005F333A" w:rsidP="005F333A">
            <w:r w:rsidRPr="005F333A">
              <w:t xml:space="preserve">        36.815.506,00 </w:t>
            </w:r>
          </w:p>
        </w:tc>
      </w:tr>
      <w:tr w:rsidR="005F333A" w:rsidRPr="005F333A" w14:paraId="007B1B70" w14:textId="77777777" w:rsidTr="001D647C">
        <w:trPr>
          <w:jc w:val="center"/>
        </w:trPr>
        <w:tc>
          <w:tcPr>
            <w:tcW w:w="1267" w:type="dxa"/>
            <w:tcBorders>
              <w:top w:val="dotted" w:sz="4" w:space="0" w:color="auto"/>
            </w:tcBorders>
          </w:tcPr>
          <w:p w14:paraId="185ED086" w14:textId="77777777" w:rsidR="005F333A" w:rsidRPr="005F333A" w:rsidRDefault="005F333A" w:rsidP="005F333A">
            <w:r w:rsidRPr="005F333A">
              <w:t>8</w:t>
            </w:r>
          </w:p>
        </w:tc>
        <w:tc>
          <w:tcPr>
            <w:tcW w:w="5494" w:type="dxa"/>
            <w:tcBorders>
              <w:top w:val="dotted" w:sz="4" w:space="0" w:color="auto"/>
            </w:tcBorders>
          </w:tcPr>
          <w:p w14:paraId="08725084" w14:textId="77777777" w:rsidR="005F333A" w:rsidRPr="005F333A" w:rsidRDefault="005F333A" w:rsidP="005F333A">
            <w:r w:rsidRPr="005F333A">
              <w:t>Apuramento do Défice de Financiamento (%) = (7) / (1)</w:t>
            </w:r>
          </w:p>
        </w:tc>
        <w:tc>
          <w:tcPr>
            <w:tcW w:w="2158" w:type="dxa"/>
            <w:tcBorders>
              <w:top w:val="dotted" w:sz="4" w:space="0" w:color="auto"/>
            </w:tcBorders>
            <w:shd w:val="clear" w:color="auto" w:fill="B4C6E7" w:themeFill="accent1" w:themeFillTint="66"/>
            <w:vAlign w:val="center"/>
          </w:tcPr>
          <w:p w14:paraId="24879565" w14:textId="77777777" w:rsidR="005F333A" w:rsidRPr="005F333A" w:rsidRDefault="005F333A" w:rsidP="005F333A">
            <w:r w:rsidRPr="005F333A">
              <w:t>83,27%</w:t>
            </w:r>
          </w:p>
        </w:tc>
      </w:tr>
    </w:tbl>
    <w:p w14:paraId="0DD83FB4" w14:textId="77777777" w:rsidR="005F333A" w:rsidRPr="005F333A" w:rsidRDefault="005F333A" w:rsidP="005F333A"/>
    <w:p w14:paraId="3C108FB8" w14:textId="77777777" w:rsidR="005F333A" w:rsidRPr="005F333A" w:rsidRDefault="005F333A" w:rsidP="003A4689">
      <w:pPr>
        <w:spacing w:before="120" w:line="360" w:lineRule="auto"/>
        <w:contextualSpacing/>
        <w:jc w:val="both"/>
        <w:rPr>
          <w:rFonts w:cstheme="minorHAnsi"/>
        </w:rPr>
      </w:pPr>
      <w:r w:rsidRPr="005F333A">
        <w:rPr>
          <w:rFonts w:cstheme="minorHAnsi"/>
        </w:rPr>
        <w:t>Após o cálculo da taxa do défice de financiamento, é apurada a contribuição da União Europeia:</w:t>
      </w:r>
    </w:p>
    <w:p w14:paraId="62665514" w14:textId="77777777" w:rsidR="005F333A" w:rsidRPr="005F333A" w:rsidRDefault="005F333A" w:rsidP="003A4689">
      <w:pPr>
        <w:spacing w:before="120" w:line="360" w:lineRule="auto"/>
        <w:contextualSpacing/>
        <w:jc w:val="both"/>
        <w:rPr>
          <w:rFonts w:cstheme="minorHAnsi"/>
        </w:rPr>
      </w:pPr>
    </w:p>
    <w:p w14:paraId="0ADAD083" w14:textId="5B3B7000" w:rsidR="005F333A" w:rsidRPr="005F333A" w:rsidRDefault="005F333A" w:rsidP="003A4689">
      <w:pPr>
        <w:spacing w:before="120" w:line="360" w:lineRule="auto"/>
        <w:contextualSpacing/>
        <w:jc w:val="both"/>
        <w:rPr>
          <w:rFonts w:cstheme="minorHAnsi"/>
          <w:b/>
          <w:bCs/>
        </w:rPr>
      </w:pPr>
      <m:oMathPara>
        <m:oMath>
          <m:r>
            <m:rPr>
              <m:sty m:val="bi"/>
            </m:rPr>
            <w:rPr>
              <w:rFonts w:ascii="Cambria Math" w:hAnsi="Cambria Math" w:cstheme="minorHAnsi"/>
            </w:rPr>
            <m:t xml:space="preserve">Contribuição da União Europeia=Valor Máximo Elegível * Taxa Défice Financiamento**Taxa Financiamento do Programa  </m:t>
          </m:r>
        </m:oMath>
      </m:oMathPara>
    </w:p>
    <w:p w14:paraId="077DE8D1" w14:textId="77777777" w:rsidR="005F333A" w:rsidRPr="005F333A" w:rsidRDefault="005F333A" w:rsidP="003A4689">
      <w:pPr>
        <w:spacing w:before="120" w:line="360" w:lineRule="auto"/>
        <w:contextualSpacing/>
        <w:jc w:val="both"/>
        <w:rPr>
          <w:rFonts w:cstheme="minorHAnsi"/>
        </w:rPr>
      </w:pPr>
    </w:p>
    <w:p w14:paraId="04594863" w14:textId="77777777" w:rsidR="005F333A" w:rsidRPr="005F333A" w:rsidRDefault="005F333A" w:rsidP="003A4689">
      <w:pPr>
        <w:numPr>
          <w:ilvl w:val="1"/>
          <w:numId w:val="1"/>
        </w:numPr>
        <w:spacing w:before="120" w:line="360" w:lineRule="auto"/>
        <w:contextualSpacing/>
        <w:jc w:val="both"/>
        <w:rPr>
          <w:rFonts w:cstheme="minorHAnsi"/>
          <w:b/>
          <w:bCs/>
        </w:rPr>
      </w:pPr>
      <w:bookmarkStart w:id="42" w:name="_Toc136629412"/>
      <w:r w:rsidRPr="005F333A">
        <w:rPr>
          <w:rFonts w:cstheme="minorHAnsi"/>
          <w:b/>
          <w:bCs/>
        </w:rPr>
        <w:t>Auxílios de Estado</w:t>
      </w:r>
      <w:bookmarkEnd w:id="42"/>
    </w:p>
    <w:p w14:paraId="703AA2C1" w14:textId="77777777" w:rsidR="005F333A" w:rsidRPr="005F333A" w:rsidRDefault="005F333A" w:rsidP="003A4689">
      <w:pPr>
        <w:spacing w:before="120" w:line="360" w:lineRule="auto"/>
        <w:contextualSpacing/>
        <w:jc w:val="both"/>
        <w:rPr>
          <w:rFonts w:cstheme="minorHAnsi"/>
        </w:rPr>
      </w:pPr>
      <w:r w:rsidRPr="005F333A">
        <w:rPr>
          <w:rFonts w:cstheme="minorHAnsi"/>
        </w:rPr>
        <w:t>Sempre que estiverem em causa auxílios estatais, deve ser dado cumprimento às disposições normativas especificadas nos Avisos formalmente publicados, nomeadamente para:</w:t>
      </w:r>
    </w:p>
    <w:p w14:paraId="1482A713" w14:textId="77777777" w:rsidR="005F333A" w:rsidRPr="005F333A" w:rsidRDefault="005F333A" w:rsidP="003A4689">
      <w:pPr>
        <w:numPr>
          <w:ilvl w:val="0"/>
          <w:numId w:val="8"/>
        </w:numPr>
        <w:spacing w:before="120" w:line="360" w:lineRule="auto"/>
        <w:contextualSpacing/>
        <w:jc w:val="both"/>
        <w:rPr>
          <w:rFonts w:cstheme="minorHAnsi"/>
          <w:b/>
          <w:bCs/>
        </w:rPr>
      </w:pPr>
      <w:r w:rsidRPr="005F333A">
        <w:rPr>
          <w:rFonts w:cstheme="minorHAnsi"/>
          <w:b/>
          <w:bCs/>
        </w:rPr>
        <w:lastRenderedPageBreak/>
        <w:t>Auxílios estatais compatíveis - Isenção de notificação</w:t>
      </w:r>
    </w:p>
    <w:p w14:paraId="7350392C" w14:textId="77777777" w:rsidR="005F333A" w:rsidRPr="005F333A" w:rsidRDefault="005F333A" w:rsidP="003A4689">
      <w:pPr>
        <w:numPr>
          <w:ilvl w:val="1"/>
          <w:numId w:val="8"/>
        </w:numPr>
        <w:spacing w:before="120" w:line="360" w:lineRule="auto"/>
        <w:contextualSpacing/>
        <w:jc w:val="both"/>
        <w:rPr>
          <w:rFonts w:cstheme="minorHAnsi"/>
          <w:b/>
          <w:bCs/>
        </w:rPr>
      </w:pPr>
      <w:r w:rsidRPr="005F333A">
        <w:rPr>
          <w:rFonts w:cstheme="minorHAnsi"/>
        </w:rPr>
        <w:t>“</w:t>
      </w:r>
      <w:r w:rsidRPr="005F333A">
        <w:rPr>
          <w:rFonts w:cstheme="minorHAnsi"/>
          <w:b/>
          <w:bCs/>
          <w:i/>
          <w:iCs/>
        </w:rPr>
        <w:t>Auxílios de minimis</w:t>
      </w:r>
      <w:r w:rsidRPr="005F333A">
        <w:rPr>
          <w:rFonts w:cstheme="minorHAnsi"/>
        </w:rPr>
        <w:t>”: Regulamento (UE) n. º 1407/2013, da Comissão, de 18 de dezembro de 2013, na sua atual redação, relativo à aplicação dos artigos 107. º e 108. º do Tratado sobre o Funcionamento da União Europeia aos “</w:t>
      </w:r>
      <w:r w:rsidRPr="005F333A">
        <w:rPr>
          <w:rFonts w:cstheme="minorHAnsi"/>
          <w:i/>
          <w:iCs/>
        </w:rPr>
        <w:t>auxílios de minimis”;</w:t>
      </w:r>
    </w:p>
    <w:p w14:paraId="67AE52CE" w14:textId="77777777" w:rsidR="005F333A" w:rsidRPr="005F333A" w:rsidRDefault="005F333A" w:rsidP="003A4689">
      <w:pPr>
        <w:numPr>
          <w:ilvl w:val="1"/>
          <w:numId w:val="8"/>
        </w:numPr>
        <w:spacing w:before="120" w:line="360" w:lineRule="auto"/>
        <w:contextualSpacing/>
        <w:jc w:val="both"/>
        <w:rPr>
          <w:rFonts w:cstheme="minorHAnsi"/>
          <w:b/>
          <w:bCs/>
        </w:rPr>
      </w:pPr>
      <w:r w:rsidRPr="005F333A">
        <w:rPr>
          <w:rFonts w:cstheme="minorHAnsi"/>
          <w:b/>
          <w:bCs/>
        </w:rPr>
        <w:t>Serviços de Interesse Económico Geral (SIEG) - 2012/21/UE</w:t>
      </w:r>
      <w:r w:rsidRPr="005F333A">
        <w:rPr>
          <w:rFonts w:cstheme="minorHAnsi"/>
        </w:rPr>
        <w:t xml:space="preserve">: Decisão da Comissão de 20 de dezembro de 2011, relativa à aplicação do artigo 106.º, n.º 2, do Tratado sobre o Funcionamento da União Europeia aos auxílios estatais sob a forma de compensação de serviço público concedidos a certas empresas encarregadas da gestão de serviços de interesse económico geral (notificada com o número </w:t>
      </w:r>
      <w:proofErr w:type="gramStart"/>
      <w:r w:rsidRPr="005F333A">
        <w:rPr>
          <w:rFonts w:cstheme="minorHAnsi"/>
        </w:rPr>
        <w:t>C(</w:t>
      </w:r>
      <w:proofErr w:type="gramEnd"/>
      <w:r w:rsidRPr="005F333A">
        <w:rPr>
          <w:rFonts w:cstheme="minorHAnsi"/>
        </w:rPr>
        <w:t>2011)9380);</w:t>
      </w:r>
    </w:p>
    <w:p w14:paraId="25AB9290" w14:textId="77777777" w:rsidR="005F333A" w:rsidRPr="005F333A" w:rsidRDefault="005F333A" w:rsidP="003A4689">
      <w:pPr>
        <w:numPr>
          <w:ilvl w:val="1"/>
          <w:numId w:val="8"/>
        </w:numPr>
        <w:spacing w:before="120" w:line="360" w:lineRule="auto"/>
        <w:contextualSpacing/>
        <w:jc w:val="both"/>
        <w:rPr>
          <w:rFonts w:cstheme="minorHAnsi"/>
          <w:b/>
          <w:bCs/>
        </w:rPr>
      </w:pPr>
      <w:r w:rsidRPr="005F333A">
        <w:rPr>
          <w:rFonts w:cstheme="minorHAnsi"/>
          <w:b/>
          <w:bCs/>
        </w:rPr>
        <w:t>Regulamento Geral de Isenção por Categoria (RGIC):</w:t>
      </w:r>
      <w:r w:rsidRPr="005F333A">
        <w:rPr>
          <w:rFonts w:cstheme="minorHAnsi"/>
        </w:rPr>
        <w:t xml:space="preserve"> Regulamento (UE) n. º 651/2014, da Comissão, de 17 de junho de 2014, na sua atual redação, que declara certas categorias de auxílio compatíveis com o mercado interno, em aplicação dos artigos 107. º e 108.º do Tratado;</w:t>
      </w:r>
    </w:p>
    <w:p w14:paraId="42225D1A" w14:textId="77777777" w:rsidR="005F333A" w:rsidRPr="005F333A" w:rsidRDefault="005F333A" w:rsidP="003A4689">
      <w:pPr>
        <w:numPr>
          <w:ilvl w:val="0"/>
          <w:numId w:val="8"/>
        </w:numPr>
        <w:spacing w:before="120" w:line="360" w:lineRule="auto"/>
        <w:contextualSpacing/>
        <w:jc w:val="both"/>
        <w:rPr>
          <w:rFonts w:cstheme="minorHAnsi"/>
          <w:b/>
          <w:bCs/>
        </w:rPr>
      </w:pPr>
      <w:r w:rsidRPr="005F333A">
        <w:rPr>
          <w:rFonts w:cstheme="minorHAnsi"/>
          <w:b/>
          <w:bCs/>
        </w:rPr>
        <w:t>Auxílios que carecem de obrigação de notificação nos termos do nº 3, do artigo 108º do TFUE (Tratado sobre o Funcionamento da União Europeia).</w:t>
      </w:r>
    </w:p>
    <w:p w14:paraId="3B5A9087" w14:textId="77777777" w:rsidR="005F333A" w:rsidRPr="005F333A" w:rsidRDefault="005F333A" w:rsidP="003A4689">
      <w:pPr>
        <w:spacing w:before="120" w:line="360" w:lineRule="auto"/>
        <w:contextualSpacing/>
        <w:jc w:val="both"/>
        <w:rPr>
          <w:rFonts w:cstheme="minorHAnsi"/>
        </w:rPr>
      </w:pPr>
      <w:r w:rsidRPr="005F333A">
        <w:rPr>
          <w:rFonts w:cstheme="minorHAnsi"/>
        </w:rPr>
        <w:t xml:space="preserve">A título exemplificativo, de acordo com o Regulamento (UE) n. º 651/2014, da Comissão, de 17 de junho de 2014, na sua atual redação, nos auxílios a aeroportos regionais e a portos, o montante de auxílio não deve exceder a diferença entre os custos elegíveis e o lucro operacional do investimento. O lucro operacional deve ser deduzido dos custos elegíveis </w:t>
      </w:r>
      <w:proofErr w:type="spellStart"/>
      <w:r w:rsidRPr="005F333A">
        <w:rPr>
          <w:rFonts w:cstheme="minorHAnsi"/>
        </w:rPr>
        <w:t>ex-ante</w:t>
      </w:r>
      <w:proofErr w:type="spellEnd"/>
      <w:r w:rsidRPr="005F333A">
        <w:rPr>
          <w:rFonts w:cstheme="minorHAnsi"/>
        </w:rPr>
        <w:t>, com base em projeções razoáveis, ou através de um mecanismo de recuperação (</w:t>
      </w:r>
      <w:proofErr w:type="spellStart"/>
      <w:r w:rsidRPr="005F333A">
        <w:rPr>
          <w:rFonts w:cstheme="minorHAnsi"/>
        </w:rPr>
        <w:t>claw-back</w:t>
      </w:r>
      <w:proofErr w:type="spellEnd"/>
      <w:r w:rsidRPr="005F333A">
        <w:rPr>
          <w:rFonts w:cstheme="minorHAnsi"/>
        </w:rPr>
        <w:t xml:space="preserve">). </w:t>
      </w:r>
    </w:p>
    <w:p w14:paraId="1C675BF8" w14:textId="77777777" w:rsidR="005F333A" w:rsidRPr="005F333A" w:rsidRDefault="005F333A" w:rsidP="003A4689">
      <w:pPr>
        <w:spacing w:before="120" w:line="360" w:lineRule="auto"/>
        <w:contextualSpacing/>
        <w:jc w:val="both"/>
        <w:rPr>
          <w:rFonts w:cstheme="minorHAnsi"/>
        </w:rPr>
      </w:pPr>
      <w:r w:rsidRPr="005F333A">
        <w:rPr>
          <w:rFonts w:cstheme="minorHAnsi"/>
        </w:rPr>
        <w:t xml:space="preserve">Neste âmbito, o lucro operacional é definido como </w:t>
      </w:r>
      <w:r w:rsidRPr="005F333A">
        <w:rPr>
          <w:rFonts w:cstheme="minorHAnsi"/>
          <w:i/>
          <w:iCs/>
        </w:rPr>
        <w:t>“a diferença entre o valor das receitas atualizadas e os custos de funcionamento atualizados durante o período de vida económica do investimento, sempre que esta diferença for positiva. Os custos de funcionamento incluem custos como custos do pessoal, materiais, serviços contratados, comunicações, energia, manutenção, aluguer, administração, mas excluem os encargos de amortização e os custos de financiamento, se estes tiverem sido cobertos pelo auxílio ao investimento. A atualização das receitas e dos custos de funcionamento através de uma taxa de atualização adequada permite a obtenção de um lucro razoável.”</w:t>
      </w:r>
    </w:p>
    <w:p w14:paraId="443FF32A" w14:textId="77777777" w:rsidR="005F333A" w:rsidRPr="005F333A" w:rsidRDefault="005F333A" w:rsidP="003A4689">
      <w:pPr>
        <w:spacing w:before="120" w:line="360" w:lineRule="auto"/>
        <w:contextualSpacing/>
        <w:jc w:val="both"/>
        <w:rPr>
          <w:rFonts w:cstheme="minorHAnsi"/>
        </w:rPr>
      </w:pPr>
      <w:r w:rsidRPr="005F333A">
        <w:rPr>
          <w:rFonts w:cstheme="minorHAnsi"/>
        </w:rPr>
        <w:t>Após este apuramento, conforme Regulamento (UE) n. º 651/2014, da Comissão, de 17 de junho de 2014, na sua atual redação, deve ainda ser salvaguardada a aplicação das intensidades máximas previstas para os auxílios às respetivas tipologias de investimento.</w:t>
      </w:r>
    </w:p>
    <w:p w14:paraId="64606354" w14:textId="77777777" w:rsidR="005F333A" w:rsidRPr="005F333A" w:rsidRDefault="005F333A" w:rsidP="003A4689">
      <w:pPr>
        <w:spacing w:before="120" w:line="360" w:lineRule="auto"/>
        <w:contextualSpacing/>
        <w:jc w:val="both"/>
        <w:rPr>
          <w:rFonts w:cstheme="minorHAnsi"/>
        </w:rPr>
      </w:pPr>
    </w:p>
    <w:p w14:paraId="60CF7BE2" w14:textId="77777777" w:rsidR="005F333A" w:rsidRPr="005F333A" w:rsidRDefault="005F333A" w:rsidP="003A4689">
      <w:pPr>
        <w:numPr>
          <w:ilvl w:val="0"/>
          <w:numId w:val="1"/>
        </w:numPr>
        <w:spacing w:before="120" w:line="360" w:lineRule="auto"/>
        <w:contextualSpacing/>
        <w:jc w:val="both"/>
        <w:rPr>
          <w:rFonts w:cstheme="minorHAnsi"/>
          <w:b/>
          <w:bCs/>
        </w:rPr>
      </w:pPr>
      <w:bookmarkStart w:id="43" w:name="_Toc136629413"/>
      <w:r w:rsidRPr="005F333A">
        <w:rPr>
          <w:rFonts w:cstheme="minorHAnsi"/>
          <w:b/>
          <w:bCs/>
        </w:rPr>
        <w:t>Acompanhamento e quantificação da receita líquida</w:t>
      </w:r>
      <w:bookmarkEnd w:id="43"/>
    </w:p>
    <w:p w14:paraId="12D07C4C" w14:textId="77777777" w:rsidR="005F333A" w:rsidRPr="005F333A" w:rsidRDefault="005F333A" w:rsidP="003A4689">
      <w:pPr>
        <w:spacing w:before="120" w:line="360" w:lineRule="auto"/>
        <w:contextualSpacing/>
        <w:jc w:val="both"/>
        <w:rPr>
          <w:rFonts w:cstheme="minorHAnsi"/>
        </w:rPr>
      </w:pPr>
      <w:r w:rsidRPr="005F333A">
        <w:rPr>
          <w:rFonts w:cstheme="minorHAnsi"/>
        </w:rPr>
        <w:t xml:space="preserve">No caso dos projetos geradores de receitas, compete à Autoridade de Gestão a implementação de procedimentos no sentido da verificação da exatidão da receita líquida reportada pelos Beneficiários </w:t>
      </w:r>
      <w:r w:rsidRPr="005F333A">
        <w:rPr>
          <w:rFonts w:cstheme="minorHAnsi"/>
        </w:rPr>
        <w:lastRenderedPageBreak/>
        <w:t>de forma a acautelar o financiamento excessivo de operações, viabilizando a realocação de Fundos caso essa situação se verifique.</w:t>
      </w:r>
    </w:p>
    <w:p w14:paraId="633D385D" w14:textId="77777777" w:rsidR="005F333A" w:rsidRPr="005F333A" w:rsidRDefault="005F333A" w:rsidP="003A4689">
      <w:pPr>
        <w:spacing w:before="120" w:line="360" w:lineRule="auto"/>
        <w:contextualSpacing/>
        <w:jc w:val="both"/>
        <w:rPr>
          <w:rFonts w:cstheme="minorHAnsi"/>
        </w:rPr>
      </w:pPr>
      <w:r w:rsidRPr="005F333A">
        <w:rPr>
          <w:rFonts w:cstheme="minorHAnsi"/>
        </w:rPr>
        <w:t>Neste sentido, é solicitado aos Beneficiários que remetam com o Relatório Final da operação a “</w:t>
      </w:r>
      <w:r w:rsidRPr="005F333A">
        <w:rPr>
          <w:rFonts w:cstheme="minorHAnsi"/>
          <w:i/>
          <w:iCs/>
        </w:rPr>
        <w:t>Declaração de Encerramento</w:t>
      </w:r>
      <w:r w:rsidRPr="005F333A">
        <w:rPr>
          <w:rFonts w:cstheme="minorHAnsi"/>
        </w:rPr>
        <w:t>” (Anexo 2), na qual atestam quanto à existência de novas receitas ou à alteração de pressupostos passíveis de justificar uma alteração do défice de financiamento, aplicável à operação.</w:t>
      </w:r>
    </w:p>
    <w:p w14:paraId="3EA82FF0" w14:textId="77777777" w:rsidR="005F333A" w:rsidRPr="005F333A" w:rsidRDefault="005F333A" w:rsidP="003A4689">
      <w:pPr>
        <w:spacing w:before="120" w:line="360" w:lineRule="auto"/>
        <w:contextualSpacing/>
        <w:jc w:val="both"/>
        <w:rPr>
          <w:rFonts w:cstheme="minorHAnsi"/>
          <w:b/>
          <w:vanish/>
        </w:rPr>
      </w:pPr>
    </w:p>
    <w:p w14:paraId="5543D018" w14:textId="77777777" w:rsidR="005F333A" w:rsidRPr="005F333A" w:rsidRDefault="005F333A" w:rsidP="003A4689">
      <w:pPr>
        <w:spacing w:before="120" w:line="360" w:lineRule="auto"/>
        <w:contextualSpacing/>
        <w:jc w:val="both"/>
        <w:rPr>
          <w:rFonts w:cstheme="minorHAnsi"/>
        </w:rPr>
      </w:pPr>
      <w:r w:rsidRPr="005F333A">
        <w:rPr>
          <w:rFonts w:cstheme="minorHAnsi"/>
        </w:rPr>
        <w:t>O défice de financiamento deve ser recalculado quando se registarem alterações dos pressupostos seguidamente identificados:</w:t>
      </w:r>
    </w:p>
    <w:p w14:paraId="2593149E" w14:textId="77777777" w:rsidR="005F333A" w:rsidRPr="005F333A" w:rsidRDefault="005F333A" w:rsidP="003A4689">
      <w:pPr>
        <w:numPr>
          <w:ilvl w:val="0"/>
          <w:numId w:val="2"/>
        </w:numPr>
        <w:spacing w:before="120" w:line="360" w:lineRule="auto"/>
        <w:contextualSpacing/>
        <w:jc w:val="both"/>
        <w:rPr>
          <w:rFonts w:cstheme="minorHAnsi"/>
        </w:rPr>
      </w:pPr>
      <w:r w:rsidRPr="005F333A">
        <w:rPr>
          <w:rFonts w:cstheme="minorHAnsi"/>
        </w:rPr>
        <w:t>Novos tipos de fontes de receitas geradas pelo projeto não consideradas aquando do cálculo do défice de financiamento e/ou ocorridas após o seu cálculo;</w:t>
      </w:r>
    </w:p>
    <w:p w14:paraId="168ABA75" w14:textId="77777777" w:rsidR="005F333A" w:rsidRPr="005F333A" w:rsidRDefault="005F333A" w:rsidP="003A4689">
      <w:pPr>
        <w:numPr>
          <w:ilvl w:val="0"/>
          <w:numId w:val="2"/>
        </w:numPr>
        <w:spacing w:before="120" w:line="360" w:lineRule="auto"/>
        <w:contextualSpacing/>
        <w:jc w:val="both"/>
        <w:rPr>
          <w:rFonts w:cstheme="minorHAnsi"/>
        </w:rPr>
      </w:pPr>
      <w:r w:rsidRPr="005F333A">
        <w:rPr>
          <w:rFonts w:cstheme="minorHAnsi"/>
        </w:rPr>
        <w:t>Alterações na política tarifária que se traduzam num acréscimo de receitas;</w:t>
      </w:r>
    </w:p>
    <w:p w14:paraId="631FD1CD" w14:textId="77777777" w:rsidR="005F333A" w:rsidRPr="005F333A" w:rsidRDefault="005F333A" w:rsidP="003A4689">
      <w:pPr>
        <w:numPr>
          <w:ilvl w:val="0"/>
          <w:numId w:val="2"/>
        </w:numPr>
        <w:spacing w:before="120" w:line="360" w:lineRule="auto"/>
        <w:contextualSpacing/>
        <w:jc w:val="both"/>
        <w:rPr>
          <w:rFonts w:cstheme="minorHAnsi"/>
        </w:rPr>
      </w:pPr>
      <w:r w:rsidRPr="005F333A">
        <w:rPr>
          <w:rFonts w:cstheme="minorHAnsi"/>
        </w:rPr>
        <w:t>Diminuição de custos operacionais conducente a um acréscimo da receita líquida do projeto.</w:t>
      </w:r>
    </w:p>
    <w:p w14:paraId="56C08142" w14:textId="77777777" w:rsidR="005F333A" w:rsidRPr="005F333A" w:rsidRDefault="005F333A" w:rsidP="003A4689">
      <w:pPr>
        <w:spacing w:before="120" w:line="360" w:lineRule="auto"/>
        <w:contextualSpacing/>
        <w:jc w:val="both"/>
        <w:rPr>
          <w:rFonts w:cstheme="minorHAnsi"/>
        </w:rPr>
      </w:pPr>
      <w:r w:rsidRPr="005F333A">
        <w:rPr>
          <w:rFonts w:cstheme="minorHAnsi"/>
        </w:rPr>
        <w:t>Em qualquer das situações descritas, pode verificar-se que:</w:t>
      </w:r>
    </w:p>
    <w:p w14:paraId="322BAE5F" w14:textId="77777777" w:rsidR="005F333A" w:rsidRPr="005F333A" w:rsidRDefault="005F333A" w:rsidP="003A4689">
      <w:pPr>
        <w:numPr>
          <w:ilvl w:val="0"/>
          <w:numId w:val="2"/>
        </w:numPr>
        <w:spacing w:before="120" w:line="360" w:lineRule="auto"/>
        <w:contextualSpacing/>
        <w:jc w:val="both"/>
        <w:rPr>
          <w:rFonts w:cstheme="minorHAnsi"/>
        </w:rPr>
      </w:pPr>
      <w:r w:rsidRPr="005F333A">
        <w:rPr>
          <w:rFonts w:cstheme="minorHAnsi"/>
        </w:rPr>
        <w:t>um projeto ao qual não foi aplicado o cálculo do défice de financiamento por ter receitas líquidas estimadas negativas, deixa de estar nessa situação face aos dados revistos;</w:t>
      </w:r>
    </w:p>
    <w:p w14:paraId="50CD53D8" w14:textId="77777777" w:rsidR="005F333A" w:rsidRPr="005F333A" w:rsidRDefault="005F333A" w:rsidP="003A4689">
      <w:pPr>
        <w:spacing w:before="120" w:line="360" w:lineRule="auto"/>
        <w:contextualSpacing/>
        <w:jc w:val="both"/>
        <w:rPr>
          <w:rFonts w:cstheme="minorHAnsi"/>
        </w:rPr>
      </w:pPr>
      <w:r w:rsidRPr="005F333A">
        <w:rPr>
          <w:rFonts w:cstheme="minorHAnsi"/>
        </w:rPr>
        <w:t xml:space="preserve">ou </w:t>
      </w:r>
    </w:p>
    <w:p w14:paraId="70165D6F" w14:textId="77777777" w:rsidR="005F333A" w:rsidRPr="005F333A" w:rsidRDefault="005F333A" w:rsidP="003A4689">
      <w:pPr>
        <w:numPr>
          <w:ilvl w:val="0"/>
          <w:numId w:val="2"/>
        </w:numPr>
        <w:spacing w:before="120" w:line="360" w:lineRule="auto"/>
        <w:contextualSpacing/>
        <w:jc w:val="both"/>
        <w:rPr>
          <w:rFonts w:cstheme="minorHAnsi"/>
        </w:rPr>
      </w:pPr>
      <w:r w:rsidRPr="005F333A">
        <w:rPr>
          <w:rFonts w:cstheme="minorHAnsi"/>
        </w:rPr>
        <w:t>o resultado do cálculo que originou a determinação do montante de comparticipação foi significativamente superior ao que resulta dos valores revistos.</w:t>
      </w:r>
    </w:p>
    <w:p w14:paraId="250B4E9B" w14:textId="77777777" w:rsidR="005F333A" w:rsidRPr="005F333A" w:rsidRDefault="005F333A" w:rsidP="003A4689">
      <w:pPr>
        <w:spacing w:before="120" w:line="360" w:lineRule="auto"/>
        <w:contextualSpacing/>
        <w:jc w:val="both"/>
        <w:rPr>
          <w:rFonts w:cstheme="minorHAnsi"/>
        </w:rPr>
      </w:pPr>
      <w:r w:rsidRPr="005F333A">
        <w:rPr>
          <w:rFonts w:cstheme="minorHAnsi"/>
        </w:rPr>
        <w:t>Nestas circunstâncias, será deduzida da despesa elegível da operação e da declarada à Comissão, tendo subjacente a dedução a refletir nos pagamentos ao Beneficiário, com base na diferença entre o Fundo inicialmente atribuído ao projeto e o obtido com o cálculo do défice de financiamento revisto. Uma vez que o custo do investimento constitui uma base para a definição do montante máximo elegível, um eventual aumento neste custo poderá anular o efeito dos aumentos das receitas líquidas.</w:t>
      </w:r>
    </w:p>
    <w:p w14:paraId="3DD35DB6" w14:textId="77777777" w:rsidR="005F333A" w:rsidRPr="005F333A" w:rsidRDefault="005F333A" w:rsidP="003A4689">
      <w:pPr>
        <w:spacing w:before="120" w:line="360" w:lineRule="auto"/>
        <w:contextualSpacing/>
        <w:jc w:val="both"/>
        <w:rPr>
          <w:rFonts w:cstheme="minorHAnsi"/>
        </w:rPr>
      </w:pPr>
      <w:r w:rsidRPr="005F333A">
        <w:rPr>
          <w:rFonts w:cstheme="minorHAnsi"/>
        </w:rPr>
        <w:t>Por último, é de salientar que, caso seja comprovado que na candidatura do projeto foram apresentadas receitas deliberadamente subestimadas, poderá configurar uma situação de irregularidade.</w:t>
      </w:r>
    </w:p>
    <w:p w14:paraId="70BEDAF1" w14:textId="77777777" w:rsidR="005F333A" w:rsidRPr="005F333A" w:rsidRDefault="005F333A" w:rsidP="003A4689">
      <w:pPr>
        <w:spacing w:before="120" w:line="360" w:lineRule="auto"/>
        <w:contextualSpacing/>
        <w:jc w:val="both"/>
        <w:rPr>
          <w:rFonts w:cstheme="minorHAnsi"/>
        </w:rPr>
      </w:pPr>
      <w:r w:rsidRPr="005F333A">
        <w:rPr>
          <w:rFonts w:cstheme="minorHAnsi"/>
        </w:rPr>
        <w:t>De referir que, situações de acréscimo ou decréscimo de fontes de rendimento anteriormente consideradas no cálculo do défice de financiamento, alterações na procura ou outros fatores económicos externos não serão consideradas para efeitos de revisão do défice de financiamento, o qual permanecerá inalterável, não sendo necessário efetuar novamente o seu cálculo.</w:t>
      </w:r>
    </w:p>
    <w:p w14:paraId="64E248DC" w14:textId="77777777" w:rsidR="005F333A" w:rsidRPr="005F333A" w:rsidRDefault="005F333A" w:rsidP="003A4689">
      <w:pPr>
        <w:spacing w:before="120" w:line="360" w:lineRule="auto"/>
        <w:contextualSpacing/>
        <w:jc w:val="both"/>
        <w:rPr>
          <w:rFonts w:cstheme="minorHAnsi"/>
        </w:rPr>
      </w:pPr>
      <w:r w:rsidRPr="005F333A">
        <w:rPr>
          <w:rFonts w:cstheme="minorHAnsi"/>
        </w:rPr>
        <w:br w:type="page"/>
      </w:r>
    </w:p>
    <w:p w14:paraId="5811FCC2" w14:textId="77777777" w:rsidR="005F333A" w:rsidRPr="005F333A" w:rsidRDefault="005F333A" w:rsidP="005F333A"/>
    <w:p w14:paraId="451A7A57" w14:textId="77777777" w:rsidR="005F333A" w:rsidRPr="005F333A" w:rsidRDefault="005F333A" w:rsidP="005F333A"/>
    <w:p w14:paraId="23D4299C" w14:textId="77777777" w:rsidR="005F333A" w:rsidRPr="005F333A" w:rsidRDefault="005F333A" w:rsidP="005F333A"/>
    <w:p w14:paraId="1D4CFC86" w14:textId="77777777" w:rsidR="005F333A" w:rsidRPr="005F333A" w:rsidRDefault="005F333A" w:rsidP="005F333A"/>
    <w:p w14:paraId="2D8052A9" w14:textId="77777777" w:rsidR="005F333A" w:rsidRPr="005F333A" w:rsidRDefault="005F333A" w:rsidP="005F333A"/>
    <w:p w14:paraId="2EEFD6CA" w14:textId="77777777" w:rsidR="005F333A" w:rsidRPr="005F333A" w:rsidRDefault="005F333A" w:rsidP="005F333A"/>
    <w:p w14:paraId="420FE278" w14:textId="240DC939" w:rsidR="005F333A" w:rsidRDefault="005F333A" w:rsidP="005F333A">
      <w:r w:rsidRPr="005F333A">
        <w:t>ANEXOS</w:t>
      </w:r>
    </w:p>
    <w:p w14:paraId="3FED588A" w14:textId="77777777" w:rsidR="005F333A" w:rsidRDefault="005F333A">
      <w:r>
        <w:br w:type="page"/>
      </w:r>
    </w:p>
    <w:p w14:paraId="6259A4A2" w14:textId="77777777" w:rsidR="005F333A" w:rsidRPr="005F333A" w:rsidRDefault="005F333A" w:rsidP="005F333A"/>
    <w:p w14:paraId="3C6447FA" w14:textId="77777777" w:rsidR="005F333A" w:rsidRPr="005F333A" w:rsidRDefault="005F333A" w:rsidP="005F333A">
      <w:pPr>
        <w:rPr>
          <w:b/>
        </w:rPr>
      </w:pPr>
    </w:p>
    <w:p w14:paraId="6E2A03FB" w14:textId="77777777" w:rsidR="005F333A" w:rsidRPr="005F333A" w:rsidRDefault="005F333A" w:rsidP="005F333A">
      <w:pPr>
        <w:rPr>
          <w:b/>
        </w:rPr>
      </w:pPr>
    </w:p>
    <w:p w14:paraId="5CE79CEF" w14:textId="77777777" w:rsidR="005F333A" w:rsidRPr="005F333A" w:rsidRDefault="005F333A" w:rsidP="005F333A">
      <w:pPr>
        <w:rPr>
          <w:b/>
        </w:rPr>
      </w:pPr>
    </w:p>
    <w:p w14:paraId="3C7C5444" w14:textId="77777777" w:rsidR="005F333A" w:rsidRPr="005F333A" w:rsidRDefault="005F333A" w:rsidP="005F333A">
      <w:pPr>
        <w:rPr>
          <w:b/>
        </w:rPr>
      </w:pPr>
    </w:p>
    <w:p w14:paraId="08B98D92" w14:textId="77777777" w:rsidR="005F333A" w:rsidRPr="005F333A" w:rsidRDefault="005F333A" w:rsidP="005F333A">
      <w:pPr>
        <w:rPr>
          <w:b/>
        </w:rPr>
      </w:pPr>
    </w:p>
    <w:p w14:paraId="5178DDD9" w14:textId="77777777" w:rsidR="005F333A" w:rsidRPr="005F333A" w:rsidRDefault="005F333A" w:rsidP="005F333A">
      <w:pPr>
        <w:rPr>
          <w:b/>
        </w:rPr>
      </w:pPr>
    </w:p>
    <w:p w14:paraId="24E3B66F" w14:textId="77777777" w:rsidR="005F333A" w:rsidRPr="005F333A" w:rsidRDefault="005F333A" w:rsidP="005F333A">
      <w:pPr>
        <w:rPr>
          <w:b/>
        </w:rPr>
      </w:pPr>
    </w:p>
    <w:p w14:paraId="4EDA89AE" w14:textId="77777777" w:rsidR="005F333A" w:rsidRPr="005F333A" w:rsidRDefault="005F333A" w:rsidP="005F333A">
      <w:pPr>
        <w:rPr>
          <w:b/>
        </w:rPr>
      </w:pPr>
    </w:p>
    <w:p w14:paraId="30E0AB62" w14:textId="77777777" w:rsidR="005F333A" w:rsidRPr="005F333A" w:rsidRDefault="005F333A" w:rsidP="005F333A">
      <w:pPr>
        <w:rPr>
          <w:b/>
        </w:rPr>
      </w:pPr>
    </w:p>
    <w:p w14:paraId="361B99E8" w14:textId="77777777" w:rsidR="005F333A" w:rsidRPr="005F333A" w:rsidRDefault="005F333A" w:rsidP="005F333A">
      <w:pPr>
        <w:rPr>
          <w:b/>
        </w:rPr>
      </w:pPr>
    </w:p>
    <w:p w14:paraId="5BEC21CF" w14:textId="77777777" w:rsidR="005F333A" w:rsidRPr="005F333A" w:rsidRDefault="005F333A" w:rsidP="005F333A">
      <w:pPr>
        <w:rPr>
          <w:b/>
        </w:rPr>
      </w:pPr>
    </w:p>
    <w:p w14:paraId="0CD9FBD0" w14:textId="77777777" w:rsidR="005F333A" w:rsidRPr="005F333A" w:rsidRDefault="005F333A" w:rsidP="005F333A">
      <w:pPr>
        <w:rPr>
          <w:b/>
        </w:rPr>
      </w:pPr>
    </w:p>
    <w:p w14:paraId="219E0679" w14:textId="77777777" w:rsidR="005F333A" w:rsidRPr="005F333A" w:rsidRDefault="005F333A" w:rsidP="005F333A">
      <w:pPr>
        <w:rPr>
          <w:b/>
        </w:rPr>
      </w:pPr>
    </w:p>
    <w:p w14:paraId="466B145E" w14:textId="77777777" w:rsidR="005F333A" w:rsidRPr="005F333A" w:rsidRDefault="005F333A" w:rsidP="005F333A">
      <w:pPr>
        <w:rPr>
          <w:b/>
        </w:rPr>
      </w:pPr>
    </w:p>
    <w:p w14:paraId="14F92DC5" w14:textId="77777777" w:rsidR="005F333A" w:rsidRPr="005F333A" w:rsidRDefault="005F333A" w:rsidP="005F333A">
      <w:pPr>
        <w:rPr>
          <w:b/>
        </w:rPr>
      </w:pPr>
    </w:p>
    <w:p w14:paraId="365DAD51" w14:textId="77777777" w:rsidR="005F333A" w:rsidRPr="005F333A" w:rsidRDefault="005F333A" w:rsidP="005F333A">
      <w:pPr>
        <w:rPr>
          <w:b/>
        </w:rPr>
      </w:pPr>
      <w:bookmarkStart w:id="44" w:name="_Toc136417005"/>
      <w:r w:rsidRPr="005F333A">
        <w:rPr>
          <w:b/>
        </w:rPr>
        <w:t xml:space="preserve">Anexo </w:t>
      </w:r>
      <w:bookmarkEnd w:id="44"/>
      <w:r w:rsidRPr="005F333A">
        <w:rPr>
          <w:b/>
        </w:rPr>
        <w:t>1</w:t>
      </w:r>
    </w:p>
    <w:p w14:paraId="42CED298" w14:textId="31FE8D4F" w:rsidR="005F333A" w:rsidRDefault="005F333A" w:rsidP="005F333A">
      <w:pPr>
        <w:rPr>
          <w:b/>
        </w:rPr>
      </w:pPr>
      <w:bookmarkStart w:id="45" w:name="_Toc136629414"/>
      <w:r w:rsidRPr="005F333A">
        <w:rPr>
          <w:b/>
        </w:rPr>
        <w:t>Anexo 1 - Modelo de Declaração de Sustentabilidade</w:t>
      </w:r>
      <w:bookmarkEnd w:id="45"/>
    </w:p>
    <w:p w14:paraId="0D7FD53D" w14:textId="77777777" w:rsidR="005F333A" w:rsidRDefault="005F333A">
      <w:pPr>
        <w:rPr>
          <w:b/>
        </w:rPr>
      </w:pPr>
      <w:r>
        <w:rPr>
          <w:b/>
        </w:rPr>
        <w:br w:type="page"/>
      </w:r>
    </w:p>
    <w:tbl>
      <w:tblPr>
        <w:tblStyle w:val="TabelacomGrelha"/>
        <w:tblW w:w="0" w:type="auto"/>
        <w:tblInd w:w="-431" w:type="dxa"/>
        <w:tblLook w:val="04A0" w:firstRow="1" w:lastRow="0" w:firstColumn="1" w:lastColumn="0" w:noHBand="0" w:noVBand="1"/>
      </w:tblPr>
      <w:tblGrid>
        <w:gridCol w:w="9350"/>
      </w:tblGrid>
      <w:tr w:rsidR="005F333A" w:rsidRPr="005F333A" w14:paraId="2F5014DA" w14:textId="77777777" w:rsidTr="001D647C">
        <w:tc>
          <w:tcPr>
            <w:tcW w:w="9350" w:type="dxa"/>
          </w:tcPr>
          <w:p w14:paraId="640D30FE" w14:textId="77777777" w:rsidR="005F333A" w:rsidRPr="005F333A" w:rsidRDefault="005F333A" w:rsidP="005F333A">
            <w:pPr>
              <w:rPr>
                <w:b/>
              </w:rPr>
            </w:pPr>
          </w:p>
          <w:p w14:paraId="691D5F21" w14:textId="77777777" w:rsidR="005F333A" w:rsidRPr="005F333A" w:rsidRDefault="005F333A" w:rsidP="005F333A">
            <w:pPr>
              <w:rPr>
                <w:b/>
              </w:rPr>
            </w:pPr>
            <w:r w:rsidRPr="005F333A">
              <w:rPr>
                <w:b/>
              </w:rPr>
              <w:t>Declaração de Sustentabilidade</w:t>
            </w:r>
          </w:p>
          <w:p w14:paraId="26D7738B" w14:textId="77777777" w:rsidR="005F333A" w:rsidRPr="005F333A" w:rsidRDefault="005F333A" w:rsidP="005F333A">
            <w:pPr>
              <w:rPr>
                <w:b/>
              </w:rPr>
            </w:pPr>
          </w:p>
          <w:p w14:paraId="32786D52" w14:textId="77777777" w:rsidR="005F333A" w:rsidRPr="005F333A" w:rsidRDefault="005F333A" w:rsidP="005F333A">
            <w:pPr>
              <w:spacing w:after="160" w:line="259" w:lineRule="auto"/>
            </w:pPr>
          </w:p>
          <w:p w14:paraId="5106A3C0" w14:textId="77777777" w:rsidR="005F333A" w:rsidRPr="005F333A" w:rsidRDefault="005F333A" w:rsidP="005F333A">
            <w:pPr>
              <w:spacing w:after="160" w:line="259" w:lineRule="auto"/>
            </w:pPr>
            <w:r w:rsidRPr="005F333A">
              <w:t>____________________________________(nome), ______________________(função) declara que, no âmbito da candidatura _________________________________ (Designação), submetida ao Programa para a Ação Climática e Sustentabilidade, Aviso ________________(Código do Aviso), serão garantidas todas as condições orçamentais que permitam a cobertura dos défices de exploração, nomeadamente ao nível dos custos de manutenção e de substituição e restantes custos de operação, de modo a que o objeto do cofinanciamento mantenha adequados níveis de operacionalidade durante toda a sua vida útil.</w:t>
            </w:r>
          </w:p>
          <w:p w14:paraId="06C4E91A" w14:textId="77777777" w:rsidR="005F333A" w:rsidRPr="005F333A" w:rsidRDefault="005F333A" w:rsidP="005F333A">
            <w:pPr>
              <w:spacing w:after="160" w:line="259" w:lineRule="auto"/>
            </w:pPr>
            <w:r w:rsidRPr="005F333A">
              <w:t>Seguidamente descreve-se o modo como serão obtidas as mencionadas garantias orçamentais:</w:t>
            </w:r>
          </w:p>
          <w:p w14:paraId="4B2F3095" w14:textId="77777777" w:rsidR="005F333A" w:rsidRPr="005F333A" w:rsidRDefault="005F333A" w:rsidP="005F333A">
            <w:pPr>
              <w:spacing w:after="160" w:line="259" w:lineRule="auto"/>
            </w:pPr>
          </w:p>
          <w:p w14:paraId="6C67AF6D" w14:textId="77777777" w:rsidR="005F333A" w:rsidRPr="005F333A" w:rsidRDefault="005F333A" w:rsidP="005F333A"/>
          <w:p w14:paraId="60C1C6A2" w14:textId="77777777" w:rsidR="005F333A" w:rsidRPr="005F333A" w:rsidRDefault="005F333A" w:rsidP="005F333A"/>
          <w:p w14:paraId="04EE0D32" w14:textId="77777777" w:rsidR="005F333A" w:rsidRPr="005F333A" w:rsidRDefault="005F333A" w:rsidP="005F333A"/>
          <w:p w14:paraId="3B7CF08F" w14:textId="77777777" w:rsidR="005F333A" w:rsidRPr="005F333A" w:rsidRDefault="005F333A" w:rsidP="005F333A"/>
          <w:p w14:paraId="43257D09" w14:textId="77777777" w:rsidR="005F333A" w:rsidRPr="005F333A" w:rsidRDefault="005F333A" w:rsidP="005F333A"/>
          <w:p w14:paraId="103A8901" w14:textId="77777777" w:rsidR="005F333A" w:rsidRPr="005F333A" w:rsidRDefault="005F333A" w:rsidP="005F333A"/>
          <w:p w14:paraId="30A6B0D3" w14:textId="77777777" w:rsidR="005F333A" w:rsidRPr="005F333A" w:rsidRDefault="005F333A" w:rsidP="005F333A">
            <w:pPr>
              <w:spacing w:after="160" w:line="259" w:lineRule="auto"/>
            </w:pPr>
            <w:r w:rsidRPr="005F333A">
              <w:t>(Descrição)</w:t>
            </w:r>
          </w:p>
          <w:p w14:paraId="05DA50BE" w14:textId="77777777" w:rsidR="005F333A" w:rsidRPr="005F333A" w:rsidRDefault="005F333A" w:rsidP="005F333A"/>
          <w:p w14:paraId="23584472" w14:textId="77777777" w:rsidR="005F333A" w:rsidRPr="005F333A" w:rsidRDefault="005F333A" w:rsidP="005F333A"/>
          <w:p w14:paraId="0C467E77" w14:textId="77777777" w:rsidR="005F333A" w:rsidRPr="005F333A" w:rsidRDefault="005F333A" w:rsidP="005F333A">
            <w:r w:rsidRPr="005F333A">
              <w:t>(Data)</w:t>
            </w:r>
          </w:p>
          <w:p w14:paraId="076E65CA" w14:textId="77777777" w:rsidR="005F333A" w:rsidRPr="005F333A" w:rsidRDefault="005F333A" w:rsidP="005F333A">
            <w:r w:rsidRPr="005F333A">
              <w:t>___/___/___</w:t>
            </w:r>
          </w:p>
          <w:p w14:paraId="31439F98" w14:textId="77777777" w:rsidR="005F333A" w:rsidRPr="005F333A" w:rsidRDefault="005F333A" w:rsidP="005F333A"/>
          <w:p w14:paraId="0A4E6051" w14:textId="77777777" w:rsidR="005F333A" w:rsidRPr="005F333A" w:rsidRDefault="005F333A" w:rsidP="005F333A"/>
          <w:p w14:paraId="7BD1AB96" w14:textId="77777777" w:rsidR="005F333A" w:rsidRPr="005F333A" w:rsidRDefault="005F333A" w:rsidP="005F333A"/>
          <w:p w14:paraId="35B0811E" w14:textId="77777777" w:rsidR="005F333A" w:rsidRPr="005F333A" w:rsidRDefault="005F333A" w:rsidP="005F333A"/>
          <w:p w14:paraId="4F563DD4" w14:textId="77777777" w:rsidR="005F333A" w:rsidRPr="005F333A" w:rsidRDefault="005F333A" w:rsidP="005F333A">
            <w:r w:rsidRPr="005F333A">
              <w:t>_____________________________________</w:t>
            </w:r>
          </w:p>
          <w:p w14:paraId="3A8ED75E" w14:textId="77777777" w:rsidR="005F333A" w:rsidRPr="005F333A" w:rsidRDefault="005F333A" w:rsidP="005F333A">
            <w:r w:rsidRPr="005F333A">
              <w:t>(Assinatura)</w:t>
            </w:r>
          </w:p>
          <w:p w14:paraId="14E8F377" w14:textId="77777777" w:rsidR="005F333A" w:rsidRPr="005F333A" w:rsidRDefault="005F333A" w:rsidP="005F333A"/>
          <w:p w14:paraId="47D0C631" w14:textId="77777777" w:rsidR="005F333A" w:rsidRPr="005F333A" w:rsidRDefault="005F333A" w:rsidP="005F333A">
            <w:pPr>
              <w:rPr>
                <w:b/>
              </w:rPr>
            </w:pPr>
          </w:p>
        </w:tc>
      </w:tr>
    </w:tbl>
    <w:p w14:paraId="2E3CBAE0" w14:textId="77777777" w:rsidR="005F333A" w:rsidRPr="005F333A" w:rsidRDefault="005F333A" w:rsidP="005F333A"/>
    <w:p w14:paraId="6AD9E862" w14:textId="77777777" w:rsidR="005F333A" w:rsidRPr="005F333A" w:rsidRDefault="005F333A" w:rsidP="005F333A">
      <w:r w:rsidRPr="005F333A">
        <w:br w:type="page"/>
      </w:r>
    </w:p>
    <w:p w14:paraId="44B4DC9B" w14:textId="77777777" w:rsidR="005F333A" w:rsidRPr="005F333A" w:rsidRDefault="005F333A" w:rsidP="005F333A">
      <w:pPr>
        <w:rPr>
          <w:b/>
        </w:rPr>
      </w:pPr>
    </w:p>
    <w:p w14:paraId="697FFA73" w14:textId="77777777" w:rsidR="005F333A" w:rsidRPr="005F333A" w:rsidRDefault="005F333A" w:rsidP="005F333A">
      <w:pPr>
        <w:rPr>
          <w:b/>
        </w:rPr>
      </w:pPr>
    </w:p>
    <w:p w14:paraId="6DB80D4E" w14:textId="77777777" w:rsidR="005F333A" w:rsidRPr="005F333A" w:rsidRDefault="005F333A" w:rsidP="005F333A">
      <w:pPr>
        <w:rPr>
          <w:b/>
        </w:rPr>
      </w:pPr>
    </w:p>
    <w:p w14:paraId="48E34905" w14:textId="77777777" w:rsidR="005F333A" w:rsidRPr="005F333A" w:rsidRDefault="005F333A" w:rsidP="005F333A">
      <w:pPr>
        <w:rPr>
          <w:b/>
        </w:rPr>
      </w:pPr>
    </w:p>
    <w:p w14:paraId="52751D02" w14:textId="77777777" w:rsidR="005F333A" w:rsidRPr="005F333A" w:rsidRDefault="005F333A" w:rsidP="005F333A">
      <w:pPr>
        <w:rPr>
          <w:b/>
        </w:rPr>
      </w:pPr>
    </w:p>
    <w:p w14:paraId="71E6A78C" w14:textId="77777777" w:rsidR="005F333A" w:rsidRPr="005F333A" w:rsidRDefault="005F333A" w:rsidP="005F333A">
      <w:pPr>
        <w:rPr>
          <w:b/>
        </w:rPr>
      </w:pPr>
    </w:p>
    <w:p w14:paraId="38B68D30" w14:textId="77777777" w:rsidR="005F333A" w:rsidRPr="005F333A" w:rsidRDefault="005F333A" w:rsidP="005F333A">
      <w:pPr>
        <w:rPr>
          <w:b/>
        </w:rPr>
      </w:pPr>
    </w:p>
    <w:p w14:paraId="4E53307F" w14:textId="77777777" w:rsidR="005F333A" w:rsidRPr="005F333A" w:rsidRDefault="005F333A" w:rsidP="005F333A">
      <w:pPr>
        <w:rPr>
          <w:b/>
        </w:rPr>
      </w:pPr>
    </w:p>
    <w:p w14:paraId="68784B9B" w14:textId="77777777" w:rsidR="005F333A" w:rsidRPr="005F333A" w:rsidRDefault="005F333A" w:rsidP="005F333A">
      <w:pPr>
        <w:rPr>
          <w:b/>
        </w:rPr>
      </w:pPr>
    </w:p>
    <w:p w14:paraId="69F9607C" w14:textId="77777777" w:rsidR="005F333A" w:rsidRPr="005F333A" w:rsidRDefault="005F333A" w:rsidP="005F333A">
      <w:pPr>
        <w:rPr>
          <w:b/>
        </w:rPr>
      </w:pPr>
    </w:p>
    <w:p w14:paraId="1EF75375" w14:textId="77777777" w:rsidR="005F333A" w:rsidRPr="005F333A" w:rsidRDefault="005F333A" w:rsidP="005F333A">
      <w:pPr>
        <w:rPr>
          <w:b/>
        </w:rPr>
      </w:pPr>
    </w:p>
    <w:p w14:paraId="11498440" w14:textId="77777777" w:rsidR="005F333A" w:rsidRPr="005F333A" w:rsidRDefault="005F333A" w:rsidP="005F333A">
      <w:pPr>
        <w:rPr>
          <w:b/>
        </w:rPr>
      </w:pPr>
      <w:r w:rsidRPr="005F333A">
        <w:rPr>
          <w:b/>
        </w:rPr>
        <w:t>Anexo 2</w:t>
      </w:r>
    </w:p>
    <w:p w14:paraId="4C634F6F" w14:textId="77777777" w:rsidR="005F333A" w:rsidRPr="005F333A" w:rsidRDefault="005F333A" w:rsidP="005F333A">
      <w:pPr>
        <w:rPr>
          <w:b/>
        </w:rPr>
      </w:pPr>
      <w:bookmarkStart w:id="46" w:name="_Toc136629415"/>
      <w:r w:rsidRPr="005F333A">
        <w:rPr>
          <w:b/>
        </w:rPr>
        <w:t>Anexo 2 - Declaração de Encerramento</w:t>
      </w:r>
      <w:bookmarkEnd w:id="46"/>
    </w:p>
    <w:p w14:paraId="18EB3A68" w14:textId="77777777" w:rsidR="005F333A" w:rsidRPr="005F333A" w:rsidRDefault="005F333A" w:rsidP="005F333A"/>
    <w:p w14:paraId="132C5C89" w14:textId="77777777" w:rsidR="005F333A" w:rsidRPr="005F333A" w:rsidRDefault="005F333A" w:rsidP="005F333A">
      <w:r w:rsidRPr="005F333A">
        <w:br w:type="page"/>
      </w:r>
    </w:p>
    <w:tbl>
      <w:tblPr>
        <w:tblStyle w:val="TabelacomGrelha"/>
        <w:tblW w:w="0" w:type="auto"/>
        <w:tblLook w:val="04A0" w:firstRow="1" w:lastRow="0" w:firstColumn="1" w:lastColumn="0" w:noHBand="0" w:noVBand="1"/>
      </w:tblPr>
      <w:tblGrid>
        <w:gridCol w:w="8919"/>
      </w:tblGrid>
      <w:tr w:rsidR="005F333A" w:rsidRPr="005F333A" w14:paraId="2E934EB0" w14:textId="77777777" w:rsidTr="001D647C">
        <w:tc>
          <w:tcPr>
            <w:tcW w:w="8919" w:type="dxa"/>
          </w:tcPr>
          <w:p w14:paraId="27E6A274" w14:textId="77777777" w:rsidR="005F333A" w:rsidRPr="005F333A" w:rsidRDefault="005F333A" w:rsidP="005F333A">
            <w:pPr>
              <w:rPr>
                <w:b/>
              </w:rPr>
            </w:pPr>
            <w:r w:rsidRPr="005F333A">
              <w:rPr>
                <w:b/>
              </w:rPr>
              <w:lastRenderedPageBreak/>
              <w:t>Declaração</w:t>
            </w:r>
          </w:p>
          <w:p w14:paraId="55F2F5D6" w14:textId="77777777" w:rsidR="005F333A" w:rsidRPr="005F333A" w:rsidRDefault="005F333A" w:rsidP="005F333A">
            <w:r w:rsidRPr="005F333A">
              <w:t>(a apresentar conforme descrito no ponto 4 do documento “Orientações para a elaboração do Estudo de Viabilidade Financeira 2030”)</w:t>
            </w:r>
          </w:p>
          <w:p w14:paraId="64CDE756" w14:textId="77777777" w:rsidR="005F333A" w:rsidRPr="005F333A" w:rsidRDefault="005F333A" w:rsidP="005F333A"/>
          <w:p w14:paraId="4A30AADA" w14:textId="77777777" w:rsidR="005F333A" w:rsidRPr="005F333A" w:rsidRDefault="005F333A" w:rsidP="005F333A"/>
          <w:p w14:paraId="48175A84" w14:textId="77777777" w:rsidR="005F333A" w:rsidRPr="005F333A" w:rsidRDefault="005F333A" w:rsidP="005F333A"/>
          <w:p w14:paraId="42F85451" w14:textId="77777777" w:rsidR="005F333A" w:rsidRPr="005F333A" w:rsidRDefault="005F333A" w:rsidP="005F333A"/>
          <w:p w14:paraId="4BC78383" w14:textId="77777777" w:rsidR="005F333A" w:rsidRPr="005F333A" w:rsidRDefault="005F333A" w:rsidP="005F333A">
            <w:pPr>
              <w:spacing w:after="160" w:line="259" w:lineRule="auto"/>
            </w:pPr>
            <w:r w:rsidRPr="005F333A">
              <w:t xml:space="preserve">________________________________(nome), ________________________(função), em sede de encerramento da operação, declara que, no âmbito da operação _________________(código) _________________________________ (Designação), aprovada no Programa para a Ação Climática e Sustentabilidade, ______________ (existem/não existem) novas fontes de receitas geradas pelo projeto, para além das consideradas no cálculo do défice de financiamento aprovado. </w:t>
            </w:r>
          </w:p>
          <w:p w14:paraId="400D1B7F" w14:textId="77777777" w:rsidR="005F333A" w:rsidRPr="005F333A" w:rsidRDefault="005F333A" w:rsidP="005F333A">
            <w:pPr>
              <w:spacing w:after="160" w:line="259" w:lineRule="auto"/>
            </w:pPr>
            <w:r w:rsidRPr="005F333A">
              <w:t xml:space="preserve">Mais se declara que _________________ (se verificou/não se verificou) a alteração de pressupostos passíveis de justificar uma alteração do défice de financiamento aplicável à operação, designadamente no que respeita a: </w:t>
            </w:r>
          </w:p>
          <w:p w14:paraId="51E4A7FC" w14:textId="77777777" w:rsidR="005F333A" w:rsidRPr="005F333A" w:rsidRDefault="005F333A" w:rsidP="005F333A">
            <w:pPr>
              <w:spacing w:after="160" w:line="259" w:lineRule="auto"/>
            </w:pPr>
            <w:r w:rsidRPr="005F333A">
              <w:t xml:space="preserve">▪ Alteração na política tarifária que se traduzam num acréscimo de receitas; </w:t>
            </w:r>
          </w:p>
          <w:p w14:paraId="4C0D4803" w14:textId="77777777" w:rsidR="005F333A" w:rsidRPr="005F333A" w:rsidRDefault="005F333A" w:rsidP="005F333A">
            <w:pPr>
              <w:spacing w:after="160" w:line="259" w:lineRule="auto"/>
            </w:pPr>
            <w:r w:rsidRPr="005F333A">
              <w:t xml:space="preserve">▪ Diminuição de custos operacionais conducente a um acréscimo da receita líquida do projeto. </w:t>
            </w:r>
          </w:p>
          <w:p w14:paraId="34907049" w14:textId="77777777" w:rsidR="005F333A" w:rsidRPr="005F333A" w:rsidRDefault="005F333A" w:rsidP="005F333A">
            <w:pPr>
              <w:spacing w:after="160" w:line="259" w:lineRule="auto"/>
            </w:pPr>
          </w:p>
          <w:p w14:paraId="24306827" w14:textId="77777777" w:rsidR="005F333A" w:rsidRPr="005F333A" w:rsidRDefault="005F333A" w:rsidP="005F333A">
            <w:pPr>
              <w:spacing w:after="160" w:line="259" w:lineRule="auto"/>
            </w:pPr>
            <w:r w:rsidRPr="005F333A">
              <w:t xml:space="preserve">Seguidamente descrevem-se as alterações ocorridas, as quais se encontram consubstanciadas na revisão do estudo de viabilidade financeira da operação, que se remete em anexo. As referidas alterações traduzem-se numa taxa de défice de financiamento de _____%. </w:t>
            </w:r>
          </w:p>
          <w:p w14:paraId="70186C84" w14:textId="77777777" w:rsidR="005F333A" w:rsidRPr="005F333A" w:rsidRDefault="005F333A" w:rsidP="005F333A">
            <w:pPr>
              <w:spacing w:after="160" w:line="259" w:lineRule="auto"/>
            </w:pPr>
            <w:r w:rsidRPr="005F333A">
              <w:t xml:space="preserve">(nos casos aplicáveis) </w:t>
            </w:r>
          </w:p>
          <w:p w14:paraId="740807AD" w14:textId="77777777" w:rsidR="005F333A" w:rsidRPr="005F333A" w:rsidRDefault="005F333A" w:rsidP="005F333A">
            <w:pPr>
              <w:spacing w:after="160" w:line="259" w:lineRule="auto"/>
            </w:pPr>
          </w:p>
          <w:p w14:paraId="731B5E46" w14:textId="77777777" w:rsidR="005F333A" w:rsidRPr="005F333A" w:rsidRDefault="005F333A" w:rsidP="005F333A">
            <w:pPr>
              <w:spacing w:after="160" w:line="259" w:lineRule="auto"/>
            </w:pPr>
            <w:r w:rsidRPr="005F333A">
              <w:t xml:space="preserve">(Data) </w:t>
            </w:r>
          </w:p>
          <w:p w14:paraId="7BFC88F4" w14:textId="77777777" w:rsidR="005F333A" w:rsidRPr="005F333A" w:rsidRDefault="005F333A" w:rsidP="005F333A">
            <w:pPr>
              <w:spacing w:after="160" w:line="259" w:lineRule="auto"/>
            </w:pPr>
            <w:r w:rsidRPr="005F333A">
              <w:t xml:space="preserve">___/___/___ </w:t>
            </w:r>
          </w:p>
          <w:p w14:paraId="221EFDA4" w14:textId="77777777" w:rsidR="005F333A" w:rsidRPr="005F333A" w:rsidRDefault="005F333A" w:rsidP="005F333A">
            <w:pPr>
              <w:spacing w:after="160" w:line="259" w:lineRule="auto"/>
            </w:pPr>
            <w:r w:rsidRPr="005F333A">
              <w:t>____________________________________</w:t>
            </w:r>
          </w:p>
          <w:p w14:paraId="19F53FF1" w14:textId="77777777" w:rsidR="005F333A" w:rsidRPr="005F333A" w:rsidRDefault="005F333A" w:rsidP="005F333A">
            <w:pPr>
              <w:spacing w:after="160" w:line="259" w:lineRule="auto"/>
            </w:pPr>
            <w:r w:rsidRPr="005F333A">
              <w:t>(Assinatura)</w:t>
            </w:r>
          </w:p>
          <w:p w14:paraId="70A2BF57" w14:textId="77777777" w:rsidR="005F333A" w:rsidRPr="005F333A" w:rsidRDefault="005F333A" w:rsidP="005F333A"/>
        </w:tc>
      </w:tr>
    </w:tbl>
    <w:p w14:paraId="643E86EF" w14:textId="77777777" w:rsidR="005F333A" w:rsidRPr="005F333A" w:rsidRDefault="005F333A" w:rsidP="005F333A"/>
    <w:p w14:paraId="6E79D3A0" w14:textId="77777777" w:rsidR="00A068C4" w:rsidRDefault="00A068C4"/>
    <w:sectPr w:rsidR="00A068C4" w:rsidSect="005F333A">
      <w:footerReference w:type="default" r:id="rId18"/>
      <w:pgSz w:w="11906" w:h="16838" w:code="9"/>
      <w:pgMar w:top="1135" w:right="1276" w:bottom="1620" w:left="1701" w:header="709" w:footer="12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7EF59" w14:textId="77777777" w:rsidR="005F333A" w:rsidRDefault="005F333A" w:rsidP="005F333A">
      <w:pPr>
        <w:spacing w:after="0" w:line="240" w:lineRule="auto"/>
      </w:pPr>
      <w:r>
        <w:separator/>
      </w:r>
    </w:p>
  </w:endnote>
  <w:endnote w:type="continuationSeparator" w:id="0">
    <w:p w14:paraId="5B7CA4F8" w14:textId="77777777" w:rsidR="005F333A" w:rsidRDefault="005F333A" w:rsidP="005F3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A1FD5" w14:textId="5A91714E" w:rsidR="00DD3D87" w:rsidRDefault="00B863B8" w:rsidP="005F333A">
    <w:pPr>
      <w:pStyle w:val="Rodap"/>
      <w:jc w:val="center"/>
    </w:pPr>
    <w:sdt>
      <w:sdtPr>
        <w:id w:val="-1509521708"/>
        <w:docPartObj>
          <w:docPartGallery w:val="Page Numbers (Bottom of Page)"/>
          <w:docPartUnique/>
        </w:docPartObj>
      </w:sdtPr>
      <w:sdtEndPr/>
      <w:sdtContent>
        <w:r w:rsidR="005F333A" w:rsidRPr="005F333A">
          <w:rPr>
            <w:sz w:val="24"/>
            <w:szCs w:val="24"/>
          </w:rPr>
          <w:fldChar w:fldCharType="begin"/>
        </w:r>
        <w:r w:rsidR="005F333A" w:rsidRPr="005F333A">
          <w:rPr>
            <w:sz w:val="24"/>
            <w:szCs w:val="24"/>
          </w:rPr>
          <w:instrText>PAGE   \* MERGEFORMAT</w:instrText>
        </w:r>
        <w:r w:rsidR="005F333A" w:rsidRPr="005F333A">
          <w:rPr>
            <w:sz w:val="24"/>
            <w:szCs w:val="24"/>
          </w:rPr>
          <w:fldChar w:fldCharType="separate"/>
        </w:r>
        <w:r w:rsidR="005F333A" w:rsidRPr="005F333A">
          <w:rPr>
            <w:sz w:val="24"/>
            <w:szCs w:val="24"/>
          </w:rPr>
          <w:t>2</w:t>
        </w:r>
        <w:r w:rsidR="005F333A" w:rsidRPr="005F333A">
          <w:rPr>
            <w:sz w:val="24"/>
            <w:szCs w:val="24"/>
          </w:rPr>
          <w:fldChar w:fldCharType="end"/>
        </w:r>
        <w:r w:rsidR="005F333A">
          <w:t xml:space="preserve"> </w:t>
        </w:r>
      </w:sdtContent>
    </w:sdt>
    <w:r w:rsidR="005F333A" w:rsidRPr="005F333A">
      <w:rPr>
        <w:rFonts w:cstheme="minorHAnsi"/>
        <w:noProof/>
        <w:sz w:val="24"/>
        <w:szCs w:val="24"/>
      </w:rPr>
      <w:drawing>
        <wp:anchor distT="0" distB="0" distL="114300" distR="114300" simplePos="0" relativeHeight="251662336" behindDoc="0" locked="0" layoutInCell="1" allowOverlap="1" wp14:anchorId="36051ECA" wp14:editId="2C0518B4">
          <wp:simplePos x="0" y="0"/>
          <wp:positionH relativeFrom="column">
            <wp:posOffset>4278630</wp:posOffset>
          </wp:positionH>
          <wp:positionV relativeFrom="page">
            <wp:posOffset>10129520</wp:posOffset>
          </wp:positionV>
          <wp:extent cx="2171700" cy="436880"/>
          <wp:effectExtent l="0" t="0" r="0" b="1270"/>
          <wp:wrapNone/>
          <wp:docPr id="1785969977" name="Imagem 1785969977" descr="Uma imagem com texto, Tipo de letra, logótipo, Gráfico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707346" name="Imagem 1" descr="Uma imagem com texto, Tipo de letra, logótipo, Gráficos&#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171700" cy="436880"/>
                  </a:xfrm>
                  <a:prstGeom prst="rect">
                    <a:avLst/>
                  </a:prstGeom>
                </pic:spPr>
              </pic:pic>
            </a:graphicData>
          </a:graphic>
          <wp14:sizeRelH relativeFrom="page">
            <wp14:pctWidth>0</wp14:pctWidth>
          </wp14:sizeRelH>
          <wp14:sizeRelV relativeFrom="page">
            <wp14:pctHeight>0</wp14:pctHeight>
          </wp14:sizeRelV>
        </wp:anchor>
      </w:drawing>
    </w:r>
    <w:r w:rsidR="005F333A" w:rsidRPr="005F333A">
      <w:rPr>
        <w:b/>
        <w:bCs/>
        <w:smallCaps/>
        <w:noProof/>
        <w:color w:val="2D74B5"/>
        <w:sz w:val="24"/>
        <w:szCs w:val="24"/>
      </w:rPr>
      <w:drawing>
        <wp:anchor distT="0" distB="0" distL="114300" distR="114300" simplePos="0" relativeHeight="251661312" behindDoc="0" locked="0" layoutInCell="1" allowOverlap="1" wp14:anchorId="0CF5D245" wp14:editId="4B1AFBFD">
          <wp:simplePos x="0" y="0"/>
          <wp:positionH relativeFrom="column">
            <wp:posOffset>3079750</wp:posOffset>
          </wp:positionH>
          <wp:positionV relativeFrom="page">
            <wp:posOffset>10151745</wp:posOffset>
          </wp:positionV>
          <wp:extent cx="1299845" cy="416560"/>
          <wp:effectExtent l="0" t="0" r="0" b="2540"/>
          <wp:wrapNone/>
          <wp:docPr id="1512685646" name="Imagem 1512685646" descr="Uma imagem com Tipo de letra, texto, Gráficos, logó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386079" name="Imagem 1" descr="Uma imagem com Tipo de letra, texto, Gráficos, logótipo&#10;&#10;Descrição gerada automa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9845" cy="416560"/>
                  </a:xfrm>
                  <a:prstGeom prst="rect">
                    <a:avLst/>
                  </a:prstGeom>
                  <a:noFill/>
                  <a:ln>
                    <a:noFill/>
                  </a:ln>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28F11" w14:textId="77777777" w:rsidR="005F333A" w:rsidRDefault="005F333A" w:rsidP="005F333A">
      <w:pPr>
        <w:spacing w:after="0" w:line="240" w:lineRule="auto"/>
      </w:pPr>
      <w:r>
        <w:separator/>
      </w:r>
    </w:p>
  </w:footnote>
  <w:footnote w:type="continuationSeparator" w:id="0">
    <w:p w14:paraId="4155B76D" w14:textId="77777777" w:rsidR="005F333A" w:rsidRDefault="005F333A" w:rsidP="005F33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552239"/>
      <w:docPartObj>
        <w:docPartGallery w:val="Page Numbers (Margins)"/>
        <w:docPartUnique/>
      </w:docPartObj>
    </w:sdtPr>
    <w:sdtEndPr/>
    <w:sdtContent>
      <w:p w14:paraId="50A6AEF8" w14:textId="77777777" w:rsidR="001A6A3A" w:rsidRDefault="003A4689">
        <w:pPr>
          <w:pStyle w:val="Cabealho"/>
        </w:pPr>
        <w:r>
          <w:rPr>
            <w:noProof/>
          </w:rPr>
          <mc:AlternateContent>
            <mc:Choice Requires="wps">
              <w:drawing>
                <wp:anchor distT="0" distB="0" distL="114300" distR="114300" simplePos="0" relativeHeight="251659264" behindDoc="0" locked="0" layoutInCell="0" allowOverlap="1" wp14:anchorId="1D9AE68F" wp14:editId="5A8BAC34">
                  <wp:simplePos x="0" y="0"/>
                  <wp:positionH relativeFrom="rightMargin">
                    <wp:align>center</wp:align>
                  </wp:positionH>
                  <wp:positionV relativeFrom="page">
                    <wp:align>center</wp:align>
                  </wp:positionV>
                  <wp:extent cx="762000" cy="895350"/>
                  <wp:effectExtent l="0" t="0" r="0" b="0"/>
                  <wp:wrapNone/>
                  <wp:docPr id="99694114"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cstheme="minorHAnsi"/>
                                  <w:b/>
                                  <w:bCs/>
                                  <w:sz w:val="28"/>
                                  <w:szCs w:val="28"/>
                                </w:rPr>
                                <w:id w:val="-1807150379"/>
                                <w:docPartObj>
                                  <w:docPartGallery w:val="Page Numbers (Margins)"/>
                                  <w:docPartUnique/>
                                </w:docPartObj>
                              </w:sdtPr>
                              <w:sdtEndPr>
                                <w:rPr>
                                  <w:rFonts w:asciiTheme="majorHAnsi" w:hAnsiTheme="majorHAnsi" w:cstheme="majorBidi"/>
                                  <w:b w:val="0"/>
                                  <w:bCs w:val="0"/>
                                  <w:sz w:val="48"/>
                                  <w:szCs w:val="48"/>
                                </w:rPr>
                              </w:sdtEndPr>
                              <w:sdtContent>
                                <w:p w14:paraId="22684770" w14:textId="77777777" w:rsidR="00EA6A38" w:rsidRDefault="003A4689">
                                  <w:pPr>
                                    <w:jc w:val="center"/>
                                    <w:rPr>
                                      <w:rFonts w:asciiTheme="majorHAnsi" w:eastAsiaTheme="majorEastAsia" w:hAnsiTheme="majorHAnsi" w:cstheme="majorBidi"/>
                                      <w:sz w:val="72"/>
                                      <w:szCs w:val="72"/>
                                    </w:rPr>
                                  </w:pPr>
                                  <w:r w:rsidRPr="00EA6A38">
                                    <w:rPr>
                                      <w:rFonts w:eastAsiaTheme="minorEastAsia" w:cstheme="minorHAnsi"/>
                                      <w:b/>
                                      <w:bCs/>
                                      <w:sz w:val="28"/>
                                      <w:szCs w:val="28"/>
                                    </w:rPr>
                                    <w:fldChar w:fldCharType="begin"/>
                                  </w:r>
                                  <w:r w:rsidRPr="00EA6A38">
                                    <w:rPr>
                                      <w:rFonts w:cstheme="minorHAnsi"/>
                                      <w:b/>
                                      <w:bCs/>
                                      <w:sz w:val="28"/>
                                      <w:szCs w:val="28"/>
                                    </w:rPr>
                                    <w:instrText>PAGE  \* MERGEFORMAT</w:instrText>
                                  </w:r>
                                  <w:r w:rsidRPr="00EA6A38">
                                    <w:rPr>
                                      <w:rFonts w:eastAsiaTheme="minorEastAsia" w:cstheme="minorHAnsi"/>
                                      <w:b/>
                                      <w:bCs/>
                                      <w:sz w:val="28"/>
                                      <w:szCs w:val="28"/>
                                    </w:rPr>
                                    <w:fldChar w:fldCharType="separate"/>
                                  </w:r>
                                  <w:r w:rsidRPr="00EA6A38">
                                    <w:rPr>
                                      <w:rFonts w:eastAsiaTheme="majorEastAsia" w:cstheme="minorHAnsi"/>
                                      <w:b/>
                                      <w:bCs/>
                                      <w:sz w:val="28"/>
                                      <w:szCs w:val="28"/>
                                    </w:rPr>
                                    <w:t>2</w:t>
                                  </w:r>
                                  <w:r w:rsidRPr="00EA6A38">
                                    <w:rPr>
                                      <w:rFonts w:eastAsiaTheme="majorEastAsia" w:cstheme="minorHAnsi"/>
                                      <w:b/>
                                      <w:bCs/>
                                      <w:sz w:val="28"/>
                                      <w:szCs w:val="2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AE68F" id="Retângulo 1" o:spid="_x0000_s1026"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" o:allowincell="f" stroked="f">
                  <v:textbox>
                    <w:txbxContent>
                      <w:sdt>
                        <w:sdtPr>
                          <w:rPr>
                            <w:rFonts w:eastAsiaTheme="majorEastAsia" w:cstheme="minorHAnsi"/>
                            <w:b/>
                            <w:bCs/>
                            <w:sz w:val="28"/>
                            <w:szCs w:val="28"/>
                          </w:rPr>
                          <w:id w:val="-1807150379"/>
                          <w:docPartObj>
                            <w:docPartGallery w:val="Page Numbers (Margins)"/>
                            <w:docPartUnique/>
                          </w:docPartObj>
                        </w:sdtPr>
                        <w:sdtEndPr>
                          <w:rPr>
                            <w:rFonts w:asciiTheme="majorHAnsi" w:hAnsiTheme="majorHAnsi" w:cstheme="majorBidi"/>
                            <w:b w:val="0"/>
                            <w:bCs w:val="0"/>
                            <w:sz w:val="48"/>
                            <w:szCs w:val="48"/>
                          </w:rPr>
                        </w:sdtEndPr>
                        <w:sdtContent>
                          <w:p w14:paraId="22684770" w14:textId="77777777" w:rsidR="00EA6A38" w:rsidRDefault="003A4689">
                            <w:pPr>
                              <w:jc w:val="center"/>
                              <w:rPr>
                                <w:rFonts w:asciiTheme="majorHAnsi" w:eastAsiaTheme="majorEastAsia" w:hAnsiTheme="majorHAnsi" w:cstheme="majorBidi"/>
                                <w:sz w:val="72"/>
                                <w:szCs w:val="72"/>
                              </w:rPr>
                            </w:pPr>
                            <w:r w:rsidRPr="00EA6A38">
                              <w:rPr>
                                <w:rFonts w:eastAsiaTheme="minorEastAsia" w:cstheme="minorHAnsi"/>
                                <w:b/>
                                <w:bCs/>
                                <w:sz w:val="28"/>
                                <w:szCs w:val="28"/>
                              </w:rPr>
                              <w:fldChar w:fldCharType="begin"/>
                            </w:r>
                            <w:r w:rsidRPr="00EA6A38">
                              <w:rPr>
                                <w:rFonts w:cstheme="minorHAnsi"/>
                                <w:b/>
                                <w:bCs/>
                                <w:sz w:val="28"/>
                                <w:szCs w:val="28"/>
                              </w:rPr>
                              <w:instrText xml:space="preserve">PAGE  \* </w:instrText>
                            </w:r>
                            <w:r w:rsidRPr="00EA6A38">
                              <w:rPr>
                                <w:rFonts w:cstheme="minorHAnsi"/>
                                <w:b/>
                                <w:bCs/>
                                <w:sz w:val="28"/>
                                <w:szCs w:val="28"/>
                              </w:rPr>
                              <w:instrText>MERGEFORMAT</w:instrText>
                            </w:r>
                            <w:r w:rsidRPr="00EA6A38">
                              <w:rPr>
                                <w:rFonts w:eastAsiaTheme="minorEastAsia" w:cstheme="minorHAnsi"/>
                                <w:b/>
                                <w:bCs/>
                                <w:sz w:val="28"/>
                                <w:szCs w:val="28"/>
                              </w:rPr>
                              <w:fldChar w:fldCharType="separate"/>
                            </w:r>
                            <w:r w:rsidRPr="00EA6A38">
                              <w:rPr>
                                <w:rFonts w:eastAsiaTheme="majorEastAsia" w:cstheme="minorHAnsi"/>
                                <w:b/>
                                <w:bCs/>
                                <w:sz w:val="28"/>
                                <w:szCs w:val="28"/>
                              </w:rPr>
                              <w:t>2</w:t>
                            </w:r>
                            <w:r w:rsidRPr="00EA6A38">
                              <w:rPr>
                                <w:rFonts w:eastAsiaTheme="majorEastAsia" w:cstheme="minorHAnsi"/>
                                <w:b/>
                                <w:bCs/>
                                <w:sz w:val="28"/>
                                <w:szCs w:val="2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614D6"/>
    <w:multiLevelType w:val="hybridMultilevel"/>
    <w:tmpl w:val="B264160A"/>
    <w:lvl w:ilvl="0" w:tplc="08160005">
      <w:start w:val="1"/>
      <w:numFmt w:val="bullet"/>
      <w:lvlText w:val=""/>
      <w:lvlJc w:val="left"/>
      <w:pPr>
        <w:ind w:left="720" w:hanging="360"/>
      </w:pPr>
      <w:rPr>
        <w:rFonts w:ascii="Wingdings" w:hAnsi="Wingdings" w:hint="default"/>
      </w:rPr>
    </w:lvl>
    <w:lvl w:ilvl="1" w:tplc="EBCCAF64">
      <w:numFmt w:val="bullet"/>
      <w:lvlText w:val="₋"/>
      <w:lvlJc w:val="left"/>
      <w:pPr>
        <w:ind w:left="720" w:hanging="360"/>
      </w:pPr>
      <w:rPr>
        <w:rFonts w:ascii="Calibri" w:eastAsiaTheme="minorHAnsi" w:hAnsi="Calibri"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8544023"/>
    <w:multiLevelType w:val="hybridMultilevel"/>
    <w:tmpl w:val="5F28E9C6"/>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F2E5F7B"/>
    <w:multiLevelType w:val="hybridMultilevel"/>
    <w:tmpl w:val="8F8A15B2"/>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4FE54DC"/>
    <w:multiLevelType w:val="hybridMultilevel"/>
    <w:tmpl w:val="27AAEDB6"/>
    <w:lvl w:ilvl="0" w:tplc="E4309150">
      <w:start w:val="1"/>
      <w:numFmt w:val="bullet"/>
      <w:lvlText w:val=""/>
      <w:lvlJc w:val="left"/>
      <w:pPr>
        <w:ind w:left="720" w:hanging="360"/>
      </w:pPr>
      <w:rPr>
        <w:rFonts w:ascii="Wingdings" w:hAnsi="Wingdings" w:hint="default"/>
        <w:color w:val="auto"/>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8230A56"/>
    <w:multiLevelType w:val="hybridMultilevel"/>
    <w:tmpl w:val="5DC6FC82"/>
    <w:lvl w:ilvl="0" w:tplc="0816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45E4924"/>
    <w:multiLevelType w:val="hybridMultilevel"/>
    <w:tmpl w:val="56BCF374"/>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36C25D95"/>
    <w:multiLevelType w:val="hybridMultilevel"/>
    <w:tmpl w:val="B7C816BE"/>
    <w:lvl w:ilvl="0" w:tplc="E4309150">
      <w:start w:val="1"/>
      <w:numFmt w:val="bullet"/>
      <w:lvlText w:val=""/>
      <w:lvlJc w:val="left"/>
      <w:pPr>
        <w:ind w:left="720" w:hanging="360"/>
      </w:pPr>
      <w:rPr>
        <w:rFonts w:ascii="Wingdings" w:hAnsi="Wingdings" w:hint="default"/>
        <w:color w:val="auto"/>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8554C04"/>
    <w:multiLevelType w:val="hybridMultilevel"/>
    <w:tmpl w:val="D0583A78"/>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3BF9765E"/>
    <w:multiLevelType w:val="hybridMultilevel"/>
    <w:tmpl w:val="79BA31C8"/>
    <w:lvl w:ilvl="0" w:tplc="0816000D">
      <w:start w:val="1"/>
      <w:numFmt w:val="bullet"/>
      <w:lvlText w:val=""/>
      <w:lvlJc w:val="left"/>
      <w:pPr>
        <w:ind w:left="747" w:hanging="360"/>
      </w:pPr>
      <w:rPr>
        <w:rFonts w:ascii="Wingdings" w:hAnsi="Wingdings" w:hint="default"/>
      </w:rPr>
    </w:lvl>
    <w:lvl w:ilvl="1" w:tplc="08160003" w:tentative="1">
      <w:start w:val="1"/>
      <w:numFmt w:val="bullet"/>
      <w:lvlText w:val="o"/>
      <w:lvlJc w:val="left"/>
      <w:pPr>
        <w:ind w:left="1467" w:hanging="360"/>
      </w:pPr>
      <w:rPr>
        <w:rFonts w:ascii="Courier New" w:hAnsi="Courier New" w:cs="Courier New" w:hint="default"/>
      </w:rPr>
    </w:lvl>
    <w:lvl w:ilvl="2" w:tplc="08160005" w:tentative="1">
      <w:start w:val="1"/>
      <w:numFmt w:val="bullet"/>
      <w:lvlText w:val=""/>
      <w:lvlJc w:val="left"/>
      <w:pPr>
        <w:ind w:left="2187" w:hanging="360"/>
      </w:pPr>
      <w:rPr>
        <w:rFonts w:ascii="Wingdings" w:hAnsi="Wingdings" w:hint="default"/>
      </w:rPr>
    </w:lvl>
    <w:lvl w:ilvl="3" w:tplc="08160001" w:tentative="1">
      <w:start w:val="1"/>
      <w:numFmt w:val="bullet"/>
      <w:lvlText w:val=""/>
      <w:lvlJc w:val="left"/>
      <w:pPr>
        <w:ind w:left="2907" w:hanging="360"/>
      </w:pPr>
      <w:rPr>
        <w:rFonts w:ascii="Symbol" w:hAnsi="Symbol" w:hint="default"/>
      </w:rPr>
    </w:lvl>
    <w:lvl w:ilvl="4" w:tplc="08160003" w:tentative="1">
      <w:start w:val="1"/>
      <w:numFmt w:val="bullet"/>
      <w:lvlText w:val="o"/>
      <w:lvlJc w:val="left"/>
      <w:pPr>
        <w:ind w:left="3627" w:hanging="360"/>
      </w:pPr>
      <w:rPr>
        <w:rFonts w:ascii="Courier New" w:hAnsi="Courier New" w:cs="Courier New" w:hint="default"/>
      </w:rPr>
    </w:lvl>
    <w:lvl w:ilvl="5" w:tplc="08160005" w:tentative="1">
      <w:start w:val="1"/>
      <w:numFmt w:val="bullet"/>
      <w:lvlText w:val=""/>
      <w:lvlJc w:val="left"/>
      <w:pPr>
        <w:ind w:left="4347" w:hanging="360"/>
      </w:pPr>
      <w:rPr>
        <w:rFonts w:ascii="Wingdings" w:hAnsi="Wingdings" w:hint="default"/>
      </w:rPr>
    </w:lvl>
    <w:lvl w:ilvl="6" w:tplc="08160001" w:tentative="1">
      <w:start w:val="1"/>
      <w:numFmt w:val="bullet"/>
      <w:lvlText w:val=""/>
      <w:lvlJc w:val="left"/>
      <w:pPr>
        <w:ind w:left="5067" w:hanging="360"/>
      </w:pPr>
      <w:rPr>
        <w:rFonts w:ascii="Symbol" w:hAnsi="Symbol" w:hint="default"/>
      </w:rPr>
    </w:lvl>
    <w:lvl w:ilvl="7" w:tplc="08160003" w:tentative="1">
      <w:start w:val="1"/>
      <w:numFmt w:val="bullet"/>
      <w:lvlText w:val="o"/>
      <w:lvlJc w:val="left"/>
      <w:pPr>
        <w:ind w:left="5787" w:hanging="360"/>
      </w:pPr>
      <w:rPr>
        <w:rFonts w:ascii="Courier New" w:hAnsi="Courier New" w:cs="Courier New" w:hint="default"/>
      </w:rPr>
    </w:lvl>
    <w:lvl w:ilvl="8" w:tplc="08160005" w:tentative="1">
      <w:start w:val="1"/>
      <w:numFmt w:val="bullet"/>
      <w:lvlText w:val=""/>
      <w:lvlJc w:val="left"/>
      <w:pPr>
        <w:ind w:left="6507" w:hanging="360"/>
      </w:pPr>
      <w:rPr>
        <w:rFonts w:ascii="Wingdings" w:hAnsi="Wingdings" w:hint="default"/>
      </w:rPr>
    </w:lvl>
  </w:abstractNum>
  <w:abstractNum w:abstractNumId="9" w15:restartNumberingAfterBreak="0">
    <w:nsid w:val="49656A57"/>
    <w:multiLevelType w:val="hybridMultilevel"/>
    <w:tmpl w:val="B3B01B52"/>
    <w:lvl w:ilvl="0" w:tplc="08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38A2071"/>
    <w:multiLevelType w:val="hybridMultilevel"/>
    <w:tmpl w:val="CDCC9B90"/>
    <w:lvl w:ilvl="0" w:tplc="FFFFFFFF">
      <w:start w:val="1"/>
      <w:numFmt w:val="bullet"/>
      <w:lvlText w:val=""/>
      <w:lvlJc w:val="left"/>
      <w:pPr>
        <w:ind w:left="720" w:hanging="360"/>
      </w:pPr>
      <w:rPr>
        <w:rFonts w:ascii="Wingdings" w:hAnsi="Wingdings" w:hint="default"/>
      </w:rPr>
    </w:lvl>
    <w:lvl w:ilvl="1" w:tplc="0816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45D493D"/>
    <w:multiLevelType w:val="hybridMultilevel"/>
    <w:tmpl w:val="3138AC68"/>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55CC2DB1"/>
    <w:multiLevelType w:val="hybridMultilevel"/>
    <w:tmpl w:val="3E5476DA"/>
    <w:lvl w:ilvl="0" w:tplc="EBCCAF64">
      <w:numFmt w:val="bullet"/>
      <w:lvlText w:val="₋"/>
      <w:lvlJc w:val="left"/>
      <w:pPr>
        <w:ind w:left="720" w:hanging="360"/>
      </w:pPr>
      <w:rPr>
        <w:rFonts w:ascii="Calibri" w:eastAsiaTheme="minorHAnsi" w:hAnsi="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6711549B"/>
    <w:multiLevelType w:val="multilevel"/>
    <w:tmpl w:val="08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142367C"/>
    <w:multiLevelType w:val="hybridMultilevel"/>
    <w:tmpl w:val="C6DEB080"/>
    <w:lvl w:ilvl="0" w:tplc="08160005">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15:restartNumberingAfterBreak="0">
    <w:nsid w:val="726264BD"/>
    <w:multiLevelType w:val="hybridMultilevel"/>
    <w:tmpl w:val="F7123178"/>
    <w:lvl w:ilvl="0" w:tplc="08160005">
      <w:start w:val="1"/>
      <w:numFmt w:val="bullet"/>
      <w:lvlText w:val=""/>
      <w:lvlJc w:val="left"/>
      <w:pPr>
        <w:ind w:left="720" w:hanging="360"/>
      </w:pPr>
      <w:rPr>
        <w:rFonts w:ascii="Wingdings" w:hAnsi="Wingdings"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15:restartNumberingAfterBreak="0">
    <w:nsid w:val="7C51082C"/>
    <w:multiLevelType w:val="hybridMultilevel"/>
    <w:tmpl w:val="72CEC23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1626963726">
    <w:abstractNumId w:val="13"/>
  </w:num>
  <w:num w:numId="2" w16cid:durableId="90854691">
    <w:abstractNumId w:val="14"/>
  </w:num>
  <w:num w:numId="3" w16cid:durableId="1919435384">
    <w:abstractNumId w:val="5"/>
  </w:num>
  <w:num w:numId="4" w16cid:durableId="843783214">
    <w:abstractNumId w:val="11"/>
  </w:num>
  <w:num w:numId="5" w16cid:durableId="1039665639">
    <w:abstractNumId w:val="15"/>
  </w:num>
  <w:num w:numId="6" w16cid:durableId="609320006">
    <w:abstractNumId w:val="9"/>
  </w:num>
  <w:num w:numId="7" w16cid:durableId="1825926134">
    <w:abstractNumId w:val="12"/>
  </w:num>
  <w:num w:numId="8" w16cid:durableId="2019581136">
    <w:abstractNumId w:val="0"/>
  </w:num>
  <w:num w:numId="9" w16cid:durableId="1622226730">
    <w:abstractNumId w:val="8"/>
  </w:num>
  <w:num w:numId="10" w16cid:durableId="354501851">
    <w:abstractNumId w:val="3"/>
  </w:num>
  <w:num w:numId="11" w16cid:durableId="1372342675">
    <w:abstractNumId w:val="6"/>
  </w:num>
  <w:num w:numId="12" w16cid:durableId="1464082069">
    <w:abstractNumId w:val="10"/>
  </w:num>
  <w:num w:numId="13" w16cid:durableId="33506213">
    <w:abstractNumId w:val="1"/>
  </w:num>
  <w:num w:numId="14" w16cid:durableId="1591156467">
    <w:abstractNumId w:val="2"/>
  </w:num>
  <w:num w:numId="15" w16cid:durableId="2103916625">
    <w:abstractNumId w:val="16"/>
  </w:num>
  <w:num w:numId="16" w16cid:durableId="994841988">
    <w:abstractNumId w:val="4"/>
  </w:num>
  <w:num w:numId="17" w16cid:durableId="6063512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33A"/>
    <w:rsid w:val="003A4689"/>
    <w:rsid w:val="0053228D"/>
    <w:rsid w:val="005F333A"/>
    <w:rsid w:val="006258F1"/>
    <w:rsid w:val="008060C1"/>
    <w:rsid w:val="00A068C4"/>
    <w:rsid w:val="00B863B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DAB37"/>
  <w15:chartTrackingRefBased/>
  <w15:docId w15:val="{2587CA65-43DC-4510-BC7A-185363CEB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ter"/>
    <w:uiPriority w:val="9"/>
    <w:qFormat/>
    <w:rsid w:val="005F33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ter"/>
    <w:uiPriority w:val="9"/>
    <w:unhideWhenUsed/>
    <w:qFormat/>
    <w:rsid w:val="005F333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ter"/>
    <w:uiPriority w:val="9"/>
    <w:unhideWhenUsed/>
    <w:qFormat/>
    <w:rsid w:val="005F333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5F3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ter">
    <w:name w:val="Título 1 Caráter"/>
    <w:basedOn w:val="Tipodeletrapredefinidodopargrafo"/>
    <w:link w:val="Ttulo1"/>
    <w:uiPriority w:val="9"/>
    <w:rsid w:val="005F333A"/>
    <w:rPr>
      <w:rFonts w:asciiTheme="majorHAnsi" w:eastAsiaTheme="majorEastAsia" w:hAnsiTheme="majorHAnsi" w:cstheme="majorBidi"/>
      <w:color w:val="2F5496" w:themeColor="accent1" w:themeShade="BF"/>
      <w:sz w:val="32"/>
      <w:szCs w:val="32"/>
    </w:rPr>
  </w:style>
  <w:style w:type="character" w:customStyle="1" w:styleId="Ttulo2Carter">
    <w:name w:val="Título 2 Caráter"/>
    <w:basedOn w:val="Tipodeletrapredefinidodopargrafo"/>
    <w:link w:val="Ttulo2"/>
    <w:uiPriority w:val="9"/>
    <w:rsid w:val="005F333A"/>
    <w:rPr>
      <w:rFonts w:asciiTheme="majorHAnsi" w:eastAsiaTheme="majorEastAsia" w:hAnsiTheme="majorHAnsi" w:cstheme="majorBidi"/>
      <w:color w:val="2F5496" w:themeColor="accent1" w:themeShade="BF"/>
      <w:sz w:val="26"/>
      <w:szCs w:val="26"/>
    </w:rPr>
  </w:style>
  <w:style w:type="character" w:customStyle="1" w:styleId="Ttulo3Carter">
    <w:name w:val="Título 3 Caráter"/>
    <w:basedOn w:val="Tipodeletrapredefinidodopargrafo"/>
    <w:link w:val="Ttulo3"/>
    <w:uiPriority w:val="9"/>
    <w:rsid w:val="005F333A"/>
    <w:rPr>
      <w:rFonts w:asciiTheme="majorHAnsi" w:eastAsiaTheme="majorEastAsia" w:hAnsiTheme="majorHAnsi" w:cstheme="majorBidi"/>
      <w:color w:val="1F3763" w:themeColor="accent1" w:themeShade="7F"/>
      <w:sz w:val="24"/>
      <w:szCs w:val="24"/>
    </w:rPr>
  </w:style>
  <w:style w:type="paragraph" w:styleId="PargrafodaLista">
    <w:name w:val="List Paragraph"/>
    <w:basedOn w:val="Normal"/>
    <w:uiPriority w:val="34"/>
    <w:qFormat/>
    <w:rsid w:val="005F333A"/>
    <w:pPr>
      <w:ind w:left="720"/>
      <w:contextualSpacing/>
    </w:pPr>
  </w:style>
  <w:style w:type="paragraph" w:styleId="Textodenotaderodap">
    <w:name w:val="footnote text"/>
    <w:basedOn w:val="Normal"/>
    <w:link w:val="TextodenotaderodapCarter"/>
    <w:uiPriority w:val="99"/>
    <w:unhideWhenUsed/>
    <w:rsid w:val="005F333A"/>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rsid w:val="005F333A"/>
    <w:rPr>
      <w:sz w:val="20"/>
      <w:szCs w:val="20"/>
    </w:rPr>
  </w:style>
  <w:style w:type="character" w:styleId="Refdenotaderodap">
    <w:name w:val="footnote reference"/>
    <w:basedOn w:val="Tipodeletrapredefinidodopargrafo"/>
    <w:uiPriority w:val="99"/>
    <w:semiHidden/>
    <w:unhideWhenUsed/>
    <w:rsid w:val="005F333A"/>
    <w:rPr>
      <w:vertAlign w:val="superscript"/>
    </w:rPr>
  </w:style>
  <w:style w:type="paragraph" w:styleId="SemEspaamento">
    <w:name w:val="No Spacing"/>
    <w:link w:val="SemEspaamentoCarter"/>
    <w:uiPriority w:val="1"/>
    <w:qFormat/>
    <w:rsid w:val="005F333A"/>
    <w:pPr>
      <w:spacing w:after="0" w:line="240" w:lineRule="auto"/>
    </w:pPr>
    <w:rPr>
      <w:rFonts w:eastAsiaTheme="minorEastAsia"/>
      <w:kern w:val="0"/>
      <w:lang w:eastAsia="pt-PT"/>
      <w14:ligatures w14:val="none"/>
    </w:rPr>
  </w:style>
  <w:style w:type="character" w:customStyle="1" w:styleId="SemEspaamentoCarter">
    <w:name w:val="Sem Espaçamento Caráter"/>
    <w:basedOn w:val="Tipodeletrapredefinidodopargrafo"/>
    <w:link w:val="SemEspaamento"/>
    <w:uiPriority w:val="1"/>
    <w:rsid w:val="005F333A"/>
    <w:rPr>
      <w:rFonts w:eastAsiaTheme="minorEastAsia"/>
      <w:kern w:val="0"/>
      <w:lang w:eastAsia="pt-PT"/>
      <w14:ligatures w14:val="none"/>
    </w:rPr>
  </w:style>
  <w:style w:type="paragraph" w:styleId="Corpodetexto">
    <w:name w:val="Body Text"/>
    <w:basedOn w:val="Normal"/>
    <w:link w:val="CorpodetextoCarter"/>
    <w:rsid w:val="005F333A"/>
    <w:pPr>
      <w:spacing w:after="220" w:line="180" w:lineRule="atLeast"/>
      <w:ind w:left="835"/>
      <w:jc w:val="both"/>
    </w:pPr>
    <w:rPr>
      <w:rFonts w:ascii="Arial" w:eastAsia="Times New Roman" w:hAnsi="Arial" w:cs="Times New Roman"/>
      <w:spacing w:val="-5"/>
      <w:kern w:val="0"/>
      <w:sz w:val="20"/>
      <w:szCs w:val="20"/>
      <w14:ligatures w14:val="none"/>
    </w:rPr>
  </w:style>
  <w:style w:type="character" w:customStyle="1" w:styleId="CorpodetextoCarter">
    <w:name w:val="Corpo de texto Caráter"/>
    <w:basedOn w:val="Tipodeletrapredefinidodopargrafo"/>
    <w:link w:val="Corpodetexto"/>
    <w:rsid w:val="005F333A"/>
    <w:rPr>
      <w:rFonts w:ascii="Arial" w:eastAsia="Times New Roman" w:hAnsi="Arial" w:cs="Times New Roman"/>
      <w:spacing w:val="-5"/>
      <w:kern w:val="0"/>
      <w:sz w:val="20"/>
      <w:szCs w:val="20"/>
      <w14:ligatures w14:val="none"/>
    </w:rPr>
  </w:style>
  <w:style w:type="paragraph" w:styleId="Cabealhodondice">
    <w:name w:val="TOC Heading"/>
    <w:basedOn w:val="Ttulo1"/>
    <w:next w:val="Normal"/>
    <w:uiPriority w:val="39"/>
    <w:unhideWhenUsed/>
    <w:qFormat/>
    <w:rsid w:val="005F333A"/>
    <w:pPr>
      <w:outlineLvl w:val="9"/>
    </w:pPr>
    <w:rPr>
      <w:kern w:val="0"/>
      <w:lang w:eastAsia="pt-PT"/>
      <w14:ligatures w14:val="none"/>
    </w:rPr>
  </w:style>
  <w:style w:type="paragraph" w:styleId="ndice1">
    <w:name w:val="toc 1"/>
    <w:basedOn w:val="Normal"/>
    <w:next w:val="Normal"/>
    <w:autoRedefine/>
    <w:uiPriority w:val="39"/>
    <w:unhideWhenUsed/>
    <w:rsid w:val="005F333A"/>
    <w:pPr>
      <w:tabs>
        <w:tab w:val="left" w:pos="442"/>
        <w:tab w:val="right" w:leader="dot" w:pos="8919"/>
      </w:tabs>
      <w:spacing w:after="100"/>
    </w:pPr>
  </w:style>
  <w:style w:type="paragraph" w:styleId="ndice2">
    <w:name w:val="toc 2"/>
    <w:basedOn w:val="Normal"/>
    <w:next w:val="Normal"/>
    <w:autoRedefine/>
    <w:uiPriority w:val="39"/>
    <w:unhideWhenUsed/>
    <w:rsid w:val="005F333A"/>
    <w:pPr>
      <w:spacing w:after="100"/>
      <w:ind w:left="220"/>
    </w:pPr>
  </w:style>
  <w:style w:type="character" w:styleId="Hiperligao">
    <w:name w:val="Hyperlink"/>
    <w:basedOn w:val="Tipodeletrapredefinidodopargrafo"/>
    <w:uiPriority w:val="99"/>
    <w:unhideWhenUsed/>
    <w:rsid w:val="005F333A"/>
    <w:rPr>
      <w:color w:val="0563C1" w:themeColor="hyperlink"/>
      <w:u w:val="single"/>
    </w:rPr>
  </w:style>
  <w:style w:type="paragraph" w:styleId="Subttulo">
    <w:name w:val="Subtitle"/>
    <w:basedOn w:val="Normal"/>
    <w:next w:val="Normal"/>
    <w:link w:val="SubttuloCarter"/>
    <w:uiPriority w:val="11"/>
    <w:qFormat/>
    <w:rsid w:val="005F333A"/>
    <w:pPr>
      <w:numPr>
        <w:ilvl w:val="1"/>
      </w:numPr>
    </w:pPr>
    <w:rPr>
      <w:rFonts w:eastAsiaTheme="minorEastAsia"/>
      <w:color w:val="5A5A5A" w:themeColor="text1" w:themeTint="A5"/>
      <w:spacing w:val="15"/>
    </w:rPr>
  </w:style>
  <w:style w:type="character" w:customStyle="1" w:styleId="SubttuloCarter">
    <w:name w:val="Subtítulo Caráter"/>
    <w:basedOn w:val="Tipodeletrapredefinidodopargrafo"/>
    <w:link w:val="Subttulo"/>
    <w:uiPriority w:val="11"/>
    <w:rsid w:val="005F333A"/>
    <w:rPr>
      <w:rFonts w:eastAsiaTheme="minorEastAsia"/>
      <w:color w:val="5A5A5A" w:themeColor="text1" w:themeTint="A5"/>
      <w:spacing w:val="15"/>
    </w:rPr>
  </w:style>
  <w:style w:type="paragraph" w:styleId="Legenda">
    <w:name w:val="caption"/>
    <w:basedOn w:val="Normal"/>
    <w:next w:val="Normal"/>
    <w:uiPriority w:val="35"/>
    <w:unhideWhenUsed/>
    <w:qFormat/>
    <w:rsid w:val="005F333A"/>
    <w:pPr>
      <w:spacing w:after="200" w:line="240" w:lineRule="auto"/>
    </w:pPr>
    <w:rPr>
      <w:i/>
      <w:iCs/>
      <w:color w:val="44546A" w:themeColor="text2"/>
      <w:sz w:val="18"/>
      <w:szCs w:val="18"/>
    </w:rPr>
  </w:style>
  <w:style w:type="paragraph" w:styleId="ndicedeilustraes">
    <w:name w:val="table of figures"/>
    <w:basedOn w:val="Normal"/>
    <w:next w:val="Normal"/>
    <w:uiPriority w:val="99"/>
    <w:unhideWhenUsed/>
    <w:rsid w:val="005F333A"/>
    <w:pPr>
      <w:spacing w:after="0"/>
    </w:pPr>
  </w:style>
  <w:style w:type="paragraph" w:styleId="HTMLpr-formatado">
    <w:name w:val="HTML Preformatted"/>
    <w:basedOn w:val="Normal"/>
    <w:link w:val="HTMLpr-formatadoCarter"/>
    <w:uiPriority w:val="99"/>
    <w:semiHidden/>
    <w:unhideWhenUsed/>
    <w:rsid w:val="005F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pt-PT"/>
      <w14:ligatures w14:val="none"/>
    </w:rPr>
  </w:style>
  <w:style w:type="character" w:customStyle="1" w:styleId="HTMLpr-formatadoCarter">
    <w:name w:val="HTML pré-formatado Caráter"/>
    <w:basedOn w:val="Tipodeletrapredefinidodopargrafo"/>
    <w:link w:val="HTMLpr-formatado"/>
    <w:uiPriority w:val="99"/>
    <w:semiHidden/>
    <w:rsid w:val="005F333A"/>
    <w:rPr>
      <w:rFonts w:ascii="Courier New" w:eastAsia="Times New Roman" w:hAnsi="Courier New" w:cs="Courier New"/>
      <w:kern w:val="0"/>
      <w:sz w:val="20"/>
      <w:szCs w:val="20"/>
      <w:lang w:eastAsia="pt-PT"/>
      <w14:ligatures w14:val="none"/>
    </w:rPr>
  </w:style>
  <w:style w:type="character" w:customStyle="1" w:styleId="y2iqfc">
    <w:name w:val="y2iqfc"/>
    <w:basedOn w:val="Tipodeletrapredefinidodopargrafo"/>
    <w:rsid w:val="005F333A"/>
  </w:style>
  <w:style w:type="paragraph" w:styleId="ndice3">
    <w:name w:val="toc 3"/>
    <w:basedOn w:val="Normal"/>
    <w:next w:val="Normal"/>
    <w:autoRedefine/>
    <w:uiPriority w:val="39"/>
    <w:unhideWhenUsed/>
    <w:rsid w:val="005F333A"/>
    <w:pPr>
      <w:tabs>
        <w:tab w:val="left" w:pos="1134"/>
        <w:tab w:val="left" w:pos="1320"/>
        <w:tab w:val="right" w:leader="dot" w:pos="8494"/>
      </w:tabs>
      <w:spacing w:after="100"/>
      <w:ind w:left="442"/>
      <w:jc w:val="both"/>
    </w:pPr>
  </w:style>
  <w:style w:type="paragraph" w:styleId="Cabealho">
    <w:name w:val="header"/>
    <w:basedOn w:val="Normal"/>
    <w:link w:val="CabealhoCarter"/>
    <w:uiPriority w:val="99"/>
    <w:unhideWhenUsed/>
    <w:rsid w:val="005F333A"/>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5F333A"/>
  </w:style>
  <w:style w:type="paragraph" w:styleId="Rodap">
    <w:name w:val="footer"/>
    <w:basedOn w:val="Normal"/>
    <w:link w:val="RodapCarter"/>
    <w:uiPriority w:val="99"/>
    <w:unhideWhenUsed/>
    <w:rsid w:val="005F333A"/>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5F333A"/>
  </w:style>
  <w:style w:type="character" w:styleId="nfase">
    <w:name w:val="Emphasis"/>
    <w:basedOn w:val="Tipodeletrapredefinidodopargrafo"/>
    <w:uiPriority w:val="20"/>
    <w:qFormat/>
    <w:rsid w:val="005F333A"/>
    <w:rPr>
      <w:i/>
      <w:iCs/>
    </w:rPr>
  </w:style>
  <w:style w:type="paragraph" w:customStyle="1" w:styleId="Default">
    <w:name w:val="Default"/>
    <w:rsid w:val="005F333A"/>
    <w:pPr>
      <w:autoSpaceDE w:val="0"/>
      <w:autoSpaceDN w:val="0"/>
      <w:adjustRightInd w:val="0"/>
      <w:spacing w:after="0" w:line="240" w:lineRule="auto"/>
    </w:pPr>
    <w:rPr>
      <w:rFonts w:ascii="EUAlbertina" w:hAnsi="EUAlbertina" w:cs="EUAlbertina"/>
      <w:color w:val="000000"/>
      <w:kern w:val="0"/>
      <w:sz w:val="24"/>
      <w:szCs w:val="24"/>
    </w:rPr>
  </w:style>
  <w:style w:type="paragraph" w:styleId="NormalWeb">
    <w:name w:val="Normal (Web)"/>
    <w:basedOn w:val="Normal"/>
    <w:uiPriority w:val="99"/>
    <w:semiHidden/>
    <w:unhideWhenUsed/>
    <w:rsid w:val="005F333A"/>
    <w:pPr>
      <w:spacing w:before="100" w:beforeAutospacing="1" w:after="100" w:afterAutospacing="1" w:line="240" w:lineRule="auto"/>
    </w:pPr>
    <w:rPr>
      <w:rFonts w:ascii="Times New Roman" w:eastAsia="Times New Roman" w:hAnsi="Times New Roman" w:cs="Times New Roman"/>
      <w:kern w:val="0"/>
      <w:sz w:val="24"/>
      <w:szCs w:val="24"/>
      <w:lang w:eastAsia="pt-PT"/>
      <w14:ligatures w14:val="none"/>
    </w:rPr>
  </w:style>
  <w:style w:type="character" w:styleId="Forte">
    <w:name w:val="Strong"/>
    <w:basedOn w:val="Tipodeletrapredefinidodopargrafo"/>
    <w:uiPriority w:val="22"/>
    <w:qFormat/>
    <w:rsid w:val="005F333A"/>
    <w:rPr>
      <w:b/>
      <w:bCs/>
    </w:rPr>
  </w:style>
  <w:style w:type="character" w:customStyle="1" w:styleId="ui-provider">
    <w:name w:val="ui-provider"/>
    <w:basedOn w:val="Tipodeletrapredefinidodopargrafo"/>
    <w:rsid w:val="005F333A"/>
  </w:style>
  <w:style w:type="character" w:styleId="Refdecomentrio">
    <w:name w:val="annotation reference"/>
    <w:basedOn w:val="Tipodeletrapredefinidodopargrafo"/>
    <w:uiPriority w:val="99"/>
    <w:semiHidden/>
    <w:unhideWhenUsed/>
    <w:rsid w:val="005F333A"/>
    <w:rPr>
      <w:sz w:val="16"/>
      <w:szCs w:val="16"/>
    </w:rPr>
  </w:style>
  <w:style w:type="paragraph" w:styleId="Textodecomentrio">
    <w:name w:val="annotation text"/>
    <w:basedOn w:val="Normal"/>
    <w:link w:val="TextodecomentrioCarter"/>
    <w:uiPriority w:val="99"/>
    <w:unhideWhenUsed/>
    <w:rsid w:val="005F333A"/>
    <w:pPr>
      <w:spacing w:after="120" w:line="240" w:lineRule="auto"/>
    </w:pPr>
    <w:rPr>
      <w:kern w:val="0"/>
      <w:sz w:val="20"/>
      <w:szCs w:val="20"/>
      <w14:ligatures w14:val="none"/>
    </w:rPr>
  </w:style>
  <w:style w:type="character" w:customStyle="1" w:styleId="TextodecomentrioCarter">
    <w:name w:val="Texto de comentário Caráter"/>
    <w:basedOn w:val="Tipodeletrapredefinidodopargrafo"/>
    <w:link w:val="Textodecomentrio"/>
    <w:uiPriority w:val="99"/>
    <w:rsid w:val="005F333A"/>
    <w:rPr>
      <w:kern w:val="0"/>
      <w:sz w:val="20"/>
      <w:szCs w:val="20"/>
      <w14:ligatures w14:val="none"/>
    </w:rPr>
  </w:style>
  <w:style w:type="paragraph" w:customStyle="1" w:styleId="CM1">
    <w:name w:val="CM1"/>
    <w:basedOn w:val="Default"/>
    <w:next w:val="Default"/>
    <w:uiPriority w:val="99"/>
    <w:rsid w:val="005F333A"/>
    <w:rPr>
      <w:rFonts w:cstheme="minorBidi"/>
      <w:color w:val="auto"/>
    </w:rPr>
  </w:style>
  <w:style w:type="paragraph" w:customStyle="1" w:styleId="CM3">
    <w:name w:val="CM3"/>
    <w:basedOn w:val="Default"/>
    <w:next w:val="Default"/>
    <w:uiPriority w:val="99"/>
    <w:rsid w:val="005F333A"/>
    <w:rPr>
      <w:rFonts w:cstheme="minorBidi"/>
      <w:color w:val="auto"/>
    </w:rPr>
  </w:style>
  <w:style w:type="paragraph" w:styleId="Reviso">
    <w:name w:val="Revision"/>
    <w:hidden/>
    <w:uiPriority w:val="99"/>
    <w:semiHidden/>
    <w:rsid w:val="005F333A"/>
    <w:pPr>
      <w:spacing w:after="0" w:line="240" w:lineRule="auto"/>
    </w:pPr>
  </w:style>
  <w:style w:type="paragraph" w:styleId="Assuntodecomentrio">
    <w:name w:val="annotation subject"/>
    <w:basedOn w:val="Textodecomentrio"/>
    <w:next w:val="Textodecomentrio"/>
    <w:link w:val="AssuntodecomentrioCarter"/>
    <w:uiPriority w:val="99"/>
    <w:semiHidden/>
    <w:unhideWhenUsed/>
    <w:rsid w:val="005F333A"/>
    <w:pPr>
      <w:spacing w:after="160"/>
    </w:pPr>
    <w:rPr>
      <w:b/>
      <w:bCs/>
      <w:kern w:val="2"/>
      <w14:ligatures w14:val="standardContextual"/>
    </w:rPr>
  </w:style>
  <w:style w:type="character" w:customStyle="1" w:styleId="AssuntodecomentrioCarter">
    <w:name w:val="Assunto de comentário Caráter"/>
    <w:basedOn w:val="TextodecomentrioCarter"/>
    <w:link w:val="Assuntodecomentrio"/>
    <w:uiPriority w:val="99"/>
    <w:semiHidden/>
    <w:rsid w:val="005F333A"/>
    <w:rPr>
      <w:b/>
      <w:bCs/>
      <w:kern w:val="0"/>
      <w:sz w:val="20"/>
      <w:szCs w:val="20"/>
      <w14:ligatures w14:val="none"/>
    </w:rPr>
  </w:style>
  <w:style w:type="character" w:styleId="MenoNoResolvida">
    <w:name w:val="Unresolved Mention"/>
    <w:basedOn w:val="Tipodeletrapredefinidodopargrafo"/>
    <w:uiPriority w:val="99"/>
    <w:semiHidden/>
    <w:unhideWhenUsed/>
    <w:rsid w:val="005F3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c.europa.eu/inea/sites/default/files/cba_guide_cohesion_policy.pdf" TargetMode="External"/><Relationship Id="rId17" Type="http://schemas.openxmlformats.org/officeDocument/2006/relationships/image" Target="media/image7.emf"/><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hyperlink" Target="http://www.sutentavel2030.gov.p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ustentavel@sustentavel2030.gov.pt" TargetMode="External"/><Relationship Id="rId14" Type="http://schemas.openxmlformats.org/officeDocument/2006/relationships/image" Target="media/image4.emf"/></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8.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32</Pages>
  <Words>8678</Words>
  <Characters>48688</Characters>
  <Application>Microsoft Office Word</Application>
  <DocSecurity>0</DocSecurity>
  <Lines>1391</Lines>
  <Paragraphs>567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Vasconcelos</dc:creator>
  <cp:keywords/>
  <dc:description/>
  <cp:lastModifiedBy>Sara Vasconcelos</cp:lastModifiedBy>
  <cp:revision>5</cp:revision>
  <dcterms:created xsi:type="dcterms:W3CDTF">2023-07-13T16:14:00Z</dcterms:created>
  <dcterms:modified xsi:type="dcterms:W3CDTF">2023-08-02T18:14:00Z</dcterms:modified>
</cp:coreProperties>
</file>